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324E1">
      <w:pPr>
        <w:jc w:val="center"/>
        <w:rPr>
          <w:b/>
          <w:sz w:val="52"/>
          <w:szCs w:val="52"/>
        </w:rPr>
      </w:pPr>
      <w:bookmarkStart w:id="0" w:name="_Toc658384853"/>
      <w:bookmarkEnd w:id="0"/>
      <w:bookmarkStart w:id="1" w:name="_Hlk25140184"/>
      <w:r>
        <w:rPr>
          <w:b/>
          <w:sz w:val="52"/>
          <w:szCs w:val="52"/>
        </w:rPr>
        <w:t>报</w:t>
      </w:r>
      <w:r>
        <w:rPr>
          <w:rFonts w:hint="eastAsia"/>
          <w:b/>
          <w:sz w:val="52"/>
          <w:szCs w:val="52"/>
        </w:rPr>
        <w:t xml:space="preserve"> </w:t>
      </w:r>
      <w:r>
        <w:rPr>
          <w:b/>
          <w:sz w:val="52"/>
          <w:szCs w:val="52"/>
        </w:rPr>
        <w:t xml:space="preserve"> </w:t>
      </w:r>
      <w:r>
        <w:rPr>
          <w:rFonts w:hint="eastAsia"/>
          <w:b/>
          <w:sz w:val="52"/>
          <w:szCs w:val="52"/>
        </w:rPr>
        <w:t xml:space="preserve"> </w:t>
      </w:r>
      <w:r>
        <w:rPr>
          <w:b/>
          <w:sz w:val="52"/>
          <w:szCs w:val="52"/>
        </w:rPr>
        <w:t>价</w:t>
      </w:r>
      <w:r>
        <w:rPr>
          <w:rFonts w:hint="eastAsia"/>
          <w:b/>
          <w:sz w:val="52"/>
          <w:szCs w:val="52"/>
        </w:rPr>
        <w:t xml:space="preserve">  </w:t>
      </w:r>
      <w:r>
        <w:rPr>
          <w:b/>
          <w:sz w:val="52"/>
          <w:szCs w:val="52"/>
        </w:rPr>
        <w:t>表</w:t>
      </w:r>
    </w:p>
    <w:p w14:paraId="3A314D9C">
      <w:pPr>
        <w:overflowPunct w:val="0"/>
        <w:adjustRightInd w:val="0"/>
        <w:snapToGrid w:val="0"/>
        <w:spacing w:line="360" w:lineRule="auto"/>
        <w:jc w:val="center"/>
        <w:rPr>
          <w:rFonts w:hint="eastAsia" w:ascii="仿宋" w:hAnsi="仿宋" w:eastAsia="仿宋" w:cs="仿宋"/>
          <w:b/>
          <w:bCs/>
          <w:sz w:val="21"/>
          <w:szCs w:val="21"/>
          <w:highlight w:val="none"/>
        </w:rPr>
      </w:pPr>
    </w:p>
    <w:tbl>
      <w:tblPr>
        <w:tblStyle w:val="10"/>
        <w:tblpPr w:leftFromText="180" w:rightFromText="180" w:vertAnchor="text" w:tblpXSpec="center" w:tblpY="1"/>
        <w:tblOverlap w:val="never"/>
        <w:tblW w:w="54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1422"/>
        <w:gridCol w:w="4462"/>
        <w:gridCol w:w="797"/>
        <w:gridCol w:w="1926"/>
      </w:tblGrid>
      <w:tr w14:paraId="21E11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6" w:type="dxa"/>
            <w:vAlign w:val="top"/>
          </w:tcPr>
          <w:p w14:paraId="6DA10B42">
            <w:pPr>
              <w:overflowPunct w:val="0"/>
              <w:adjustRightInd w:val="0"/>
              <w:snapToGrid w:val="0"/>
              <w:spacing w:line="360" w:lineRule="auto"/>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序号</w:t>
            </w:r>
          </w:p>
        </w:tc>
        <w:tc>
          <w:tcPr>
            <w:tcW w:w="1422" w:type="dxa"/>
            <w:vAlign w:val="top"/>
          </w:tcPr>
          <w:p w14:paraId="3109F4F1">
            <w:pPr>
              <w:overflowPunct w:val="0"/>
              <w:adjustRightInd w:val="0"/>
              <w:snapToGrid w:val="0"/>
              <w:spacing w:line="360" w:lineRule="auto"/>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lang w:val="en-US" w:eastAsia="zh-CN"/>
              </w:rPr>
              <w:t>项目</w:t>
            </w:r>
            <w:r>
              <w:rPr>
                <w:rFonts w:hint="eastAsia" w:ascii="仿宋" w:hAnsi="仿宋" w:eastAsia="仿宋" w:cs="仿宋"/>
                <w:b/>
                <w:bCs/>
                <w:sz w:val="21"/>
                <w:szCs w:val="21"/>
                <w:highlight w:val="none"/>
              </w:rPr>
              <w:t>名称</w:t>
            </w:r>
          </w:p>
        </w:tc>
        <w:tc>
          <w:tcPr>
            <w:tcW w:w="4463" w:type="dxa"/>
            <w:vAlign w:val="top"/>
          </w:tcPr>
          <w:p w14:paraId="46A76B5D">
            <w:pPr>
              <w:overflowPunct w:val="0"/>
              <w:adjustRightInd w:val="0"/>
              <w:snapToGrid w:val="0"/>
              <w:spacing w:line="360" w:lineRule="auto"/>
              <w:jc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详细内容</w:t>
            </w:r>
          </w:p>
        </w:tc>
        <w:tc>
          <w:tcPr>
            <w:tcW w:w="797" w:type="dxa"/>
            <w:vAlign w:val="top"/>
          </w:tcPr>
          <w:p w14:paraId="3196D2B7">
            <w:pPr>
              <w:overflowPunct w:val="0"/>
              <w:adjustRightInd w:val="0"/>
              <w:snapToGrid w:val="0"/>
              <w:spacing w:line="360" w:lineRule="auto"/>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1"/>
                <w:szCs w:val="21"/>
                <w:highlight w:val="none"/>
                <w:lang w:val="en-US" w:eastAsia="zh-CN"/>
              </w:rPr>
              <w:t>数量</w:t>
            </w:r>
          </w:p>
        </w:tc>
        <w:tc>
          <w:tcPr>
            <w:tcW w:w="1926" w:type="dxa"/>
            <w:vAlign w:val="top"/>
          </w:tcPr>
          <w:p w14:paraId="6AD98D4A">
            <w:pPr>
              <w:overflowPunct w:val="0"/>
              <w:adjustRightInd w:val="0"/>
              <w:snapToGrid w:val="0"/>
              <w:spacing w:line="360" w:lineRule="auto"/>
              <w:jc w:val="center"/>
              <w:rPr>
                <w:rFonts w:hint="eastAsia" w:ascii="仿宋" w:hAnsi="仿宋" w:eastAsia="仿宋" w:cs="仿宋"/>
                <w:b/>
                <w:bCs/>
                <w:sz w:val="21"/>
                <w:szCs w:val="21"/>
                <w:highlight w:val="none"/>
                <w:lang w:val="en-US" w:eastAsia="zh-CN"/>
              </w:rPr>
            </w:pPr>
            <w:r>
              <w:rPr>
                <w:rFonts w:hint="eastAsia" w:ascii="仿宋" w:hAnsi="仿宋" w:eastAsia="仿宋" w:cs="仿宋"/>
                <w:b/>
                <w:bCs/>
                <w:sz w:val="24"/>
              </w:rPr>
              <w:t>投标报价（万元）</w:t>
            </w:r>
          </w:p>
        </w:tc>
      </w:tr>
      <w:tr w14:paraId="11EF0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6" w:type="dxa"/>
            <w:vAlign w:val="center"/>
          </w:tcPr>
          <w:p w14:paraId="70A65567">
            <w:pPr>
              <w:overflowPunct w:val="0"/>
              <w:adjustRightInd w:val="0"/>
              <w:snapToGrid w:val="0"/>
              <w:spacing w:line="360" w:lineRule="auto"/>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w:t>
            </w:r>
          </w:p>
        </w:tc>
        <w:tc>
          <w:tcPr>
            <w:tcW w:w="1422" w:type="dxa"/>
            <w:vAlign w:val="center"/>
          </w:tcPr>
          <w:p w14:paraId="2FCBEF37">
            <w:pP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办公软件</w:t>
            </w:r>
            <w:r>
              <w:rPr>
                <w:rFonts w:hint="eastAsia" w:ascii="仿宋" w:hAnsi="仿宋" w:eastAsia="仿宋" w:cs="仿宋"/>
                <w:sz w:val="21"/>
                <w:szCs w:val="21"/>
                <w:highlight w:val="none"/>
              </w:rPr>
              <w:t>正版化服务</w:t>
            </w:r>
          </w:p>
        </w:tc>
        <w:tc>
          <w:tcPr>
            <w:tcW w:w="4463" w:type="dxa"/>
            <w:vAlign w:val="center"/>
          </w:tcPr>
          <w:p w14:paraId="7B1461C5">
            <w:pPr>
              <w:widowControl/>
              <w:numPr>
                <w:ilvl w:val="0"/>
                <w:numId w:val="1"/>
              </w:numPr>
              <w:ind w:left="425" w:leftChars="0" w:hanging="425" w:firstLineChars="0"/>
              <w:jc w:val="left"/>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金山办公软件授权服务</w:t>
            </w:r>
          </w:p>
          <w:p w14:paraId="52AD4289">
            <w:pPr>
              <w:widowControl/>
              <w:numPr>
                <w:ilvl w:val="0"/>
                <w:numId w:val="2"/>
              </w:numPr>
              <w:ind w:left="0" w:leftChars="0" w:firstLine="420" w:firstLineChars="200"/>
              <w:jc w:val="left"/>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lang w:eastAsia="zh-CN"/>
              </w:rPr>
              <w:t>WPS 365 教育高级版</w:t>
            </w:r>
            <w:r>
              <w:rPr>
                <w:rFonts w:hint="eastAsia" w:ascii="仿宋" w:hAnsi="仿宋" w:eastAsia="仿宋" w:cs="仿宋"/>
                <w:color w:val="000000"/>
                <w:sz w:val="21"/>
                <w:szCs w:val="21"/>
                <w:highlight w:val="none"/>
              </w:rPr>
              <w:t>（</w:t>
            </w:r>
            <w:r>
              <w:rPr>
                <w:rFonts w:hint="eastAsia" w:ascii="仿宋" w:hAnsi="仿宋" w:eastAsia="仿宋" w:cs="仿宋"/>
                <w:color w:val="000000"/>
                <w:sz w:val="21"/>
                <w:szCs w:val="21"/>
                <w:highlight w:val="none"/>
                <w:lang w:val="en-US" w:eastAsia="zh-CN"/>
              </w:rPr>
              <w:t>不少于1700个教师账号</w:t>
            </w:r>
            <w:r>
              <w:rPr>
                <w:rFonts w:hint="eastAsia" w:ascii="仿宋" w:hAnsi="仿宋" w:eastAsia="仿宋" w:cs="仿宋"/>
                <w:color w:val="000000"/>
                <w:sz w:val="21"/>
                <w:szCs w:val="21"/>
                <w:highlight w:val="none"/>
              </w:rPr>
              <w:t>）</w:t>
            </w:r>
          </w:p>
          <w:p w14:paraId="0DCAE205">
            <w:pPr>
              <w:widowControl/>
              <w:numPr>
                <w:ilvl w:val="0"/>
                <w:numId w:val="2"/>
              </w:numPr>
              <w:ind w:left="0" w:leftChars="0" w:firstLine="420" w:firstLineChars="200"/>
              <w:jc w:val="left"/>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lang w:val="en-US" w:eastAsia="zh-CN"/>
              </w:rPr>
              <w:t>WPS 365 教育协作版</w:t>
            </w:r>
            <w:r>
              <w:rPr>
                <w:rFonts w:hint="eastAsia" w:ascii="仿宋" w:hAnsi="仿宋" w:eastAsia="仿宋" w:cs="仿宋"/>
                <w:color w:val="000000"/>
                <w:sz w:val="21"/>
                <w:szCs w:val="21"/>
                <w:highlight w:val="none"/>
              </w:rPr>
              <w:t>（</w:t>
            </w:r>
            <w:r>
              <w:rPr>
                <w:rFonts w:hint="eastAsia" w:ascii="仿宋" w:hAnsi="仿宋" w:eastAsia="仿宋" w:cs="仿宋"/>
                <w:color w:val="000000"/>
                <w:sz w:val="21"/>
                <w:szCs w:val="21"/>
                <w:highlight w:val="none"/>
                <w:lang w:val="en-US" w:eastAsia="zh-CN"/>
              </w:rPr>
              <w:t>不少于17000个学生账号</w:t>
            </w:r>
            <w:r>
              <w:rPr>
                <w:rFonts w:hint="eastAsia" w:ascii="仿宋" w:hAnsi="仿宋" w:eastAsia="仿宋" w:cs="仿宋"/>
                <w:color w:val="000000"/>
                <w:sz w:val="21"/>
                <w:szCs w:val="21"/>
                <w:highlight w:val="none"/>
              </w:rPr>
              <w:t>）</w:t>
            </w:r>
          </w:p>
          <w:p w14:paraId="05511AE0">
            <w:pPr>
              <w:widowControl/>
              <w:numPr>
                <w:ilvl w:val="0"/>
                <w:numId w:val="2"/>
              </w:numPr>
              <w:ind w:left="0" w:leftChars="0" w:firstLine="420" w:firstLineChars="200"/>
              <w:jc w:val="left"/>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lang w:eastAsia="zh-CN"/>
              </w:rPr>
              <w:t>WPS 365 教育</w:t>
            </w:r>
            <w:r>
              <w:rPr>
                <w:rFonts w:hint="eastAsia" w:ascii="仿宋" w:hAnsi="仿宋" w:eastAsia="仿宋" w:cs="仿宋"/>
                <w:color w:val="000000"/>
                <w:sz w:val="21"/>
                <w:szCs w:val="21"/>
                <w:highlight w:val="none"/>
                <w:lang w:val="en-US" w:eastAsia="zh-CN"/>
              </w:rPr>
              <w:t>旗舰</w:t>
            </w:r>
            <w:r>
              <w:rPr>
                <w:rFonts w:hint="eastAsia" w:ascii="仿宋" w:hAnsi="仿宋" w:eastAsia="仿宋" w:cs="仿宋"/>
                <w:color w:val="000000"/>
                <w:sz w:val="21"/>
                <w:szCs w:val="21"/>
                <w:highlight w:val="none"/>
                <w:lang w:eastAsia="zh-CN"/>
              </w:rPr>
              <w:t>版</w:t>
            </w:r>
            <w:r>
              <w:rPr>
                <w:rFonts w:hint="default" w:ascii="仿宋" w:hAnsi="仿宋" w:eastAsia="仿宋" w:cs="仿宋"/>
                <w:color w:val="000000"/>
                <w:kern w:val="2"/>
                <w:sz w:val="21"/>
                <w:szCs w:val="21"/>
                <w:lang w:val="en-US" w:eastAsia="zh-CN" w:bidi="ar"/>
              </w:rPr>
              <w:t>（不少于100个账号）</w:t>
            </w:r>
          </w:p>
          <w:p w14:paraId="078B9687">
            <w:pPr>
              <w:numPr>
                <w:ilvl w:val="0"/>
                <w:numId w:val="1"/>
              </w:numPr>
              <w:ind w:left="425" w:leftChars="0" w:hanging="425" w:firstLineChars="0"/>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软件资源管理服务</w:t>
            </w:r>
          </w:p>
          <w:p w14:paraId="147C2780">
            <w:pPr>
              <w:numPr>
                <w:ilvl w:val="0"/>
                <w:numId w:val="0"/>
              </w:numPr>
              <w:ind w:leftChars="0" w:firstLine="420" w:firstLineChars="200"/>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建设正版软件管理与服务平台，</w:t>
            </w:r>
            <w:r>
              <w:rPr>
                <w:rFonts w:hint="eastAsia" w:ascii="仿宋" w:hAnsi="仿宋" w:eastAsia="仿宋" w:cs="仿宋"/>
                <w:color w:val="auto"/>
                <w:sz w:val="21"/>
                <w:szCs w:val="21"/>
                <w:highlight w:val="none"/>
              </w:rPr>
              <w:t>提供</w:t>
            </w:r>
            <w:r>
              <w:rPr>
                <w:rFonts w:hint="eastAsia" w:ascii="仿宋" w:hAnsi="仿宋" w:eastAsia="仿宋" w:cs="仿宋"/>
                <w:color w:val="auto"/>
                <w:sz w:val="21"/>
                <w:szCs w:val="21"/>
                <w:highlight w:val="none"/>
                <w:lang w:eastAsia="zh-CN"/>
              </w:rPr>
              <w:t>正版</w:t>
            </w:r>
            <w:r>
              <w:rPr>
                <w:rFonts w:hint="eastAsia" w:ascii="仿宋" w:hAnsi="仿宋" w:eastAsia="仿宋" w:cs="仿宋"/>
                <w:color w:val="auto"/>
                <w:sz w:val="21"/>
                <w:szCs w:val="21"/>
                <w:highlight w:val="none"/>
              </w:rPr>
              <w:t>软件的统一管理</w:t>
            </w:r>
            <w:r>
              <w:rPr>
                <w:rFonts w:hint="eastAsia" w:ascii="仿宋" w:hAnsi="仿宋" w:eastAsia="仿宋" w:cs="仿宋"/>
                <w:color w:val="auto"/>
                <w:sz w:val="21"/>
                <w:szCs w:val="21"/>
                <w:highlight w:val="none"/>
                <w:lang w:val="en-US" w:eastAsia="zh-CN"/>
              </w:rPr>
              <w:t>服务</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包含但不限于正版</w:t>
            </w:r>
            <w:r>
              <w:rPr>
                <w:rFonts w:hint="eastAsia" w:ascii="仿宋" w:hAnsi="仿宋" w:eastAsia="仿宋" w:cs="仿宋"/>
                <w:color w:val="auto"/>
                <w:sz w:val="21"/>
                <w:szCs w:val="21"/>
                <w:highlight w:val="none"/>
              </w:rPr>
              <w:t>软件的下载、</w:t>
            </w:r>
            <w:r>
              <w:rPr>
                <w:rFonts w:hint="eastAsia" w:ascii="仿宋" w:hAnsi="仿宋" w:eastAsia="仿宋" w:cs="仿宋"/>
                <w:color w:val="auto"/>
                <w:sz w:val="21"/>
                <w:szCs w:val="21"/>
                <w:highlight w:val="none"/>
                <w:lang w:val="en-US" w:eastAsia="zh-CN"/>
              </w:rPr>
              <w:t>激活、</w:t>
            </w:r>
            <w:r>
              <w:rPr>
                <w:rFonts w:hint="eastAsia" w:ascii="仿宋" w:hAnsi="仿宋" w:eastAsia="仿宋" w:cs="仿宋"/>
                <w:color w:val="auto"/>
                <w:sz w:val="21"/>
                <w:szCs w:val="21"/>
                <w:highlight w:val="none"/>
              </w:rPr>
              <w:t>技巧视频、使用帮助、数量统计等全面管理</w:t>
            </w:r>
            <w:r>
              <w:rPr>
                <w:rFonts w:hint="eastAsia" w:ascii="仿宋" w:hAnsi="仿宋" w:eastAsia="仿宋" w:cs="仿宋"/>
                <w:color w:val="auto"/>
                <w:sz w:val="21"/>
                <w:szCs w:val="21"/>
                <w:highlight w:val="none"/>
                <w:lang w:val="en-US" w:eastAsia="zh-CN"/>
              </w:rPr>
              <w:t>服务</w:t>
            </w:r>
            <w:r>
              <w:rPr>
                <w:rFonts w:hint="eastAsia" w:ascii="仿宋" w:hAnsi="仿宋" w:eastAsia="仿宋" w:cs="仿宋"/>
                <w:color w:val="auto"/>
                <w:sz w:val="21"/>
                <w:szCs w:val="21"/>
                <w:highlight w:val="none"/>
              </w:rPr>
              <w:t>。</w:t>
            </w:r>
          </w:p>
          <w:p w14:paraId="3A1EBCB3">
            <w:pPr>
              <w:numPr>
                <w:ilvl w:val="0"/>
                <w:numId w:val="1"/>
              </w:numPr>
              <w:ind w:left="425" w:leftChars="0" w:hanging="425" w:firstLineChars="0"/>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售后运维服务</w:t>
            </w:r>
          </w:p>
          <w:p w14:paraId="1CC51E1F">
            <w:pPr>
              <w:numPr>
                <w:ilvl w:val="0"/>
                <w:numId w:val="3"/>
              </w:numPr>
              <w:spacing w:line="240" w:lineRule="auto"/>
              <w:ind w:left="-60" w:leftChars="0" w:firstLine="480" w:firstLineChars="0"/>
              <w:rPr>
                <w:rFonts w:hint="eastAsia" w:ascii="仿宋" w:hAnsi="仿宋" w:eastAsia="仿宋" w:cs="仿宋"/>
                <w:sz w:val="21"/>
                <w:szCs w:val="21"/>
              </w:rPr>
            </w:pPr>
            <w:r>
              <w:rPr>
                <w:rFonts w:hint="eastAsia" w:ascii="仿宋" w:hAnsi="仿宋" w:eastAsia="仿宋" w:cs="仿宋"/>
                <w:sz w:val="21"/>
                <w:szCs w:val="21"/>
              </w:rPr>
              <w:t>授权有效期内提供软件升级服务</w:t>
            </w:r>
            <w:r>
              <w:rPr>
                <w:rFonts w:hint="eastAsia" w:ascii="仿宋" w:hAnsi="仿宋" w:eastAsia="仿宋" w:cs="仿宋"/>
                <w:sz w:val="21"/>
                <w:szCs w:val="21"/>
                <w:lang w:val="en-US" w:eastAsia="zh-CN"/>
              </w:rPr>
              <w:t>和运维服务</w:t>
            </w:r>
            <w:r>
              <w:rPr>
                <w:rFonts w:hint="eastAsia" w:ascii="仿宋" w:hAnsi="仿宋" w:eastAsia="仿宋" w:cs="仿宋"/>
                <w:sz w:val="21"/>
                <w:szCs w:val="21"/>
              </w:rPr>
              <w:t>；</w:t>
            </w:r>
          </w:p>
          <w:p w14:paraId="374067ED">
            <w:pPr>
              <w:numPr>
                <w:ilvl w:val="0"/>
                <w:numId w:val="3"/>
              </w:numPr>
              <w:spacing w:line="240" w:lineRule="auto"/>
              <w:ind w:left="-60" w:leftChars="0" w:firstLine="480" w:firstLineChars="0"/>
              <w:rPr>
                <w:rFonts w:hint="eastAsia" w:ascii="仿宋" w:hAnsi="仿宋" w:eastAsia="仿宋" w:cs="仿宋"/>
                <w:sz w:val="21"/>
                <w:szCs w:val="21"/>
              </w:rPr>
            </w:pPr>
            <w:r>
              <w:rPr>
                <w:rFonts w:hint="eastAsia" w:ascii="仿宋" w:hAnsi="仿宋" w:eastAsia="仿宋" w:cs="仿宋"/>
                <w:sz w:val="21"/>
                <w:szCs w:val="21"/>
              </w:rPr>
              <w:t>授权有效期内</w:t>
            </w:r>
            <w:r>
              <w:rPr>
                <w:rFonts w:hint="eastAsia" w:ascii="仿宋" w:hAnsi="仿宋" w:eastAsia="仿宋" w:cs="仿宋"/>
                <w:sz w:val="21"/>
                <w:szCs w:val="21"/>
                <w:lang w:eastAsia="zh-CN"/>
              </w:rPr>
              <w:t>每年</w:t>
            </w:r>
            <w:r>
              <w:rPr>
                <w:rFonts w:hint="eastAsia" w:ascii="仿宋" w:hAnsi="仿宋" w:eastAsia="仿宋" w:cs="仿宋"/>
                <w:sz w:val="21"/>
                <w:szCs w:val="21"/>
              </w:rPr>
              <w:t>提供</w:t>
            </w:r>
            <w:r>
              <w:rPr>
                <w:rFonts w:hint="eastAsia" w:ascii="仿宋" w:hAnsi="仿宋" w:eastAsia="仿宋" w:cs="仿宋"/>
                <w:sz w:val="21"/>
                <w:szCs w:val="21"/>
                <w:lang w:val="en-US" w:eastAsia="zh-CN"/>
              </w:rPr>
              <w:t>不少于2</w:t>
            </w:r>
            <w:r>
              <w:rPr>
                <w:rFonts w:hint="eastAsia" w:ascii="仿宋" w:hAnsi="仿宋" w:eastAsia="仿宋" w:cs="仿宋"/>
                <w:sz w:val="21"/>
                <w:szCs w:val="21"/>
              </w:rPr>
              <w:t>次正版办公软件及管理平台使用的专项培训；</w:t>
            </w:r>
          </w:p>
          <w:p w14:paraId="249216DF">
            <w:pPr>
              <w:numPr>
                <w:ilvl w:val="0"/>
                <w:numId w:val="3"/>
              </w:numPr>
              <w:ind w:left="-60" w:leftChars="0" w:firstLine="480" w:firstLineChars="0"/>
              <w:rPr>
                <w:rFonts w:hint="eastAsia" w:ascii="仿宋" w:hAnsi="仿宋" w:eastAsia="仿宋" w:cs="仿宋"/>
                <w:sz w:val="21"/>
                <w:szCs w:val="21"/>
                <w:lang w:val="en-US" w:eastAsia="zh-CN"/>
              </w:rPr>
            </w:pPr>
            <w:r>
              <w:rPr>
                <w:rFonts w:hint="eastAsia" w:ascii="仿宋" w:hAnsi="仿宋" w:eastAsia="仿宋" w:cs="仿宋"/>
                <w:sz w:val="21"/>
                <w:szCs w:val="21"/>
              </w:rPr>
              <w:t>授权有效期内</w:t>
            </w:r>
            <w:r>
              <w:rPr>
                <w:rFonts w:hint="eastAsia" w:ascii="仿宋" w:hAnsi="仿宋" w:eastAsia="仿宋" w:cs="仿宋"/>
                <w:sz w:val="21"/>
                <w:szCs w:val="21"/>
                <w:lang w:val="en-US" w:eastAsia="zh-CN"/>
              </w:rPr>
              <w:t>每季度</w:t>
            </w:r>
            <w:r>
              <w:rPr>
                <w:rFonts w:hint="eastAsia" w:ascii="仿宋" w:hAnsi="仿宋" w:eastAsia="仿宋" w:cs="仿宋"/>
                <w:sz w:val="21"/>
                <w:szCs w:val="21"/>
              </w:rPr>
              <w:t>进行</w:t>
            </w:r>
            <w:r>
              <w:rPr>
                <w:rFonts w:hint="eastAsia" w:ascii="仿宋" w:hAnsi="仿宋" w:eastAsia="仿宋" w:cs="仿宋"/>
                <w:sz w:val="21"/>
                <w:szCs w:val="21"/>
                <w:lang w:val="en-US" w:eastAsia="zh-CN"/>
              </w:rPr>
              <w:t>一</w:t>
            </w:r>
            <w:r>
              <w:rPr>
                <w:rFonts w:hint="eastAsia" w:ascii="仿宋" w:hAnsi="仿宋" w:eastAsia="仿宋" w:cs="仿宋"/>
                <w:sz w:val="21"/>
                <w:szCs w:val="21"/>
              </w:rPr>
              <w:t>次现场巡检答疑服务；</w:t>
            </w:r>
          </w:p>
          <w:p w14:paraId="13FFC712">
            <w:pPr>
              <w:numPr>
                <w:ilvl w:val="0"/>
                <w:numId w:val="3"/>
              </w:numPr>
              <w:ind w:left="-60" w:leftChars="0" w:firstLine="480" w:firstLineChars="0"/>
              <w:rPr>
                <w:rFonts w:hint="eastAsia" w:ascii="仿宋" w:hAnsi="仿宋" w:eastAsia="仿宋" w:cs="仿宋"/>
                <w:color w:val="000000"/>
                <w:sz w:val="21"/>
                <w:szCs w:val="21"/>
                <w:highlight w:val="none"/>
                <w:lang w:eastAsia="zh-CN"/>
              </w:rPr>
            </w:pPr>
            <w:r>
              <w:rPr>
                <w:rFonts w:hint="eastAsia" w:ascii="仿宋" w:hAnsi="仿宋" w:eastAsia="仿宋" w:cs="仿宋"/>
                <w:sz w:val="21"/>
                <w:szCs w:val="21"/>
                <w:lang w:val="en-US" w:eastAsia="zh-CN"/>
              </w:rPr>
              <w:t>提供版权检查支持服务</w:t>
            </w:r>
          </w:p>
        </w:tc>
        <w:tc>
          <w:tcPr>
            <w:tcW w:w="797" w:type="dxa"/>
            <w:vAlign w:val="center"/>
          </w:tcPr>
          <w:p w14:paraId="6BA726BE">
            <w:pPr>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1年</w:t>
            </w:r>
          </w:p>
        </w:tc>
        <w:tc>
          <w:tcPr>
            <w:tcW w:w="1926" w:type="dxa"/>
            <w:vAlign w:val="center"/>
          </w:tcPr>
          <w:p w14:paraId="6A2798D3">
            <w:pPr>
              <w:jc w:val="center"/>
              <w:rPr>
                <w:rFonts w:hint="eastAsia" w:ascii="仿宋" w:hAnsi="仿宋" w:eastAsia="仿宋" w:cs="仿宋"/>
                <w:sz w:val="21"/>
                <w:szCs w:val="21"/>
                <w:highlight w:val="none"/>
                <w:lang w:val="en-US" w:eastAsia="zh-CN"/>
              </w:rPr>
            </w:pPr>
            <w:bookmarkStart w:id="2" w:name="_GoBack"/>
            <w:bookmarkEnd w:id="2"/>
          </w:p>
        </w:tc>
      </w:tr>
      <w:bookmarkEnd w:id="1"/>
    </w:tbl>
    <w:p w14:paraId="6517B931">
      <w:pPr>
        <w:spacing w:before="240" w:after="240" w:line="400" w:lineRule="exact"/>
        <w:outlineLvl w:val="1"/>
        <w:rPr>
          <w:rFonts w:hint="eastAsia" w:ascii="仿宋" w:hAnsi="仿宋" w:eastAsia="仿宋" w:cs="仿宋"/>
          <w:b/>
          <w:sz w:val="24"/>
          <w:highlight w:val="none"/>
          <w:lang w:eastAsia="zh-CN"/>
        </w:rPr>
      </w:pPr>
      <w:r>
        <w:rPr>
          <w:rFonts w:hint="eastAsia" w:ascii="仿宋" w:hAnsi="仿宋" w:eastAsia="仿宋" w:cs="仿宋"/>
          <w:b/>
          <w:sz w:val="24"/>
          <w:highlight w:val="none"/>
        </w:rPr>
        <w:t>二、</w:t>
      </w:r>
      <w:r>
        <w:rPr>
          <w:rFonts w:hint="eastAsia" w:ascii="仿宋" w:hAnsi="仿宋" w:eastAsia="仿宋" w:cs="仿宋"/>
          <w:b/>
          <w:sz w:val="24"/>
          <w:highlight w:val="none"/>
          <w:lang w:eastAsia="zh-CN"/>
        </w:rPr>
        <w:t>详细需求</w:t>
      </w:r>
    </w:p>
    <w:tbl>
      <w:tblPr>
        <w:tblStyle w:val="10"/>
        <w:tblW w:w="523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27"/>
        <w:gridCol w:w="1094"/>
        <w:gridCol w:w="6689"/>
      </w:tblGrid>
      <w:tr w14:paraId="51A66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532" w:type="pct"/>
            <w:vAlign w:val="center"/>
          </w:tcPr>
          <w:p w14:paraId="7EF06B64">
            <w:pPr>
              <w:pStyle w:val="14"/>
              <w:spacing w:line="360" w:lineRule="atLeast"/>
              <w:jc w:val="center"/>
              <w:rPr>
                <w:rFonts w:hint="eastAsia" w:ascii="仿宋" w:hAnsi="仿宋" w:eastAsia="仿宋" w:cs="仿宋"/>
                <w:b/>
                <w:sz w:val="21"/>
                <w:szCs w:val="21"/>
                <w:highlight w:val="none"/>
                <w:lang w:eastAsia="zh-CN"/>
              </w:rPr>
            </w:pPr>
            <w:r>
              <w:rPr>
                <w:rFonts w:hint="eastAsia" w:ascii="仿宋" w:hAnsi="仿宋" w:eastAsia="仿宋" w:cs="仿宋"/>
                <w:b/>
                <w:sz w:val="21"/>
                <w:szCs w:val="21"/>
                <w:highlight w:val="none"/>
                <w:lang w:eastAsia="zh-CN"/>
              </w:rPr>
              <w:t>服务名称</w:t>
            </w:r>
          </w:p>
        </w:tc>
        <w:tc>
          <w:tcPr>
            <w:tcW w:w="628" w:type="pct"/>
            <w:vAlign w:val="center"/>
          </w:tcPr>
          <w:p w14:paraId="3719F985">
            <w:pPr>
              <w:pStyle w:val="14"/>
              <w:spacing w:line="360" w:lineRule="atLeast"/>
              <w:jc w:val="center"/>
              <w:rPr>
                <w:rFonts w:hint="eastAsia" w:ascii="仿宋" w:hAnsi="仿宋" w:eastAsia="仿宋" w:cs="仿宋"/>
                <w:b/>
                <w:sz w:val="21"/>
                <w:szCs w:val="21"/>
                <w:highlight w:val="none"/>
                <w:lang w:eastAsia="zh-CN"/>
              </w:rPr>
            </w:pPr>
            <w:r>
              <w:rPr>
                <w:rFonts w:hint="eastAsia" w:ascii="仿宋" w:hAnsi="仿宋" w:eastAsia="仿宋" w:cs="仿宋"/>
                <w:b/>
                <w:sz w:val="21"/>
                <w:szCs w:val="21"/>
                <w:highlight w:val="none"/>
                <w:lang w:eastAsia="zh-CN"/>
              </w:rPr>
              <w:t>功能清单</w:t>
            </w:r>
          </w:p>
        </w:tc>
        <w:tc>
          <w:tcPr>
            <w:tcW w:w="3839" w:type="pct"/>
          </w:tcPr>
          <w:p w14:paraId="1F8E7E1E">
            <w:pPr>
              <w:pStyle w:val="14"/>
              <w:spacing w:line="360" w:lineRule="atLeast"/>
              <w:jc w:val="center"/>
              <w:rPr>
                <w:rFonts w:hint="eastAsia" w:ascii="仿宋" w:hAnsi="仿宋" w:eastAsia="仿宋" w:cs="仿宋"/>
                <w:b/>
                <w:sz w:val="21"/>
                <w:szCs w:val="21"/>
                <w:highlight w:val="none"/>
              </w:rPr>
            </w:pPr>
            <w:r>
              <w:rPr>
                <w:rFonts w:hint="eastAsia" w:ascii="仿宋" w:hAnsi="仿宋" w:eastAsia="仿宋" w:cs="仿宋"/>
                <w:b/>
                <w:sz w:val="21"/>
                <w:szCs w:val="21"/>
                <w:highlight w:val="none"/>
              </w:rPr>
              <w:t>技术要求</w:t>
            </w:r>
          </w:p>
        </w:tc>
      </w:tr>
      <w:tr w14:paraId="40127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32" w:type="pct"/>
            <w:vMerge w:val="restart"/>
            <w:vAlign w:val="center"/>
          </w:tcPr>
          <w:p w14:paraId="189F71F8">
            <w:pPr>
              <w:widowControl/>
              <w:numPr>
                <w:ilvl w:val="0"/>
                <w:numId w:val="0"/>
              </w:numPr>
              <w:ind w:leftChars="0"/>
              <w:jc w:val="left"/>
              <w:rPr>
                <w:rFonts w:hint="eastAsia" w:ascii="仿宋" w:hAnsi="仿宋" w:eastAsia="仿宋" w:cs="仿宋"/>
                <w:bCs/>
                <w:sz w:val="21"/>
                <w:szCs w:val="21"/>
                <w:highlight w:val="none"/>
                <w:lang w:eastAsia="zh-CN"/>
              </w:rPr>
            </w:pPr>
            <w:r>
              <w:rPr>
                <w:rFonts w:hint="eastAsia" w:ascii="仿宋" w:hAnsi="仿宋" w:eastAsia="仿宋" w:cs="仿宋"/>
                <w:color w:val="000000"/>
                <w:sz w:val="21"/>
                <w:szCs w:val="21"/>
                <w:highlight w:val="none"/>
                <w:lang w:val="en-US" w:eastAsia="zh-CN"/>
              </w:rPr>
              <w:t>金山办公软件授权服务</w:t>
            </w:r>
            <w:r>
              <w:rPr>
                <w:rFonts w:hint="eastAsia" w:ascii="仿宋" w:hAnsi="仿宋" w:eastAsia="仿宋" w:cs="仿宋"/>
                <w:bCs/>
                <w:sz w:val="21"/>
                <w:szCs w:val="21"/>
                <w:highlight w:val="none"/>
                <w:lang w:eastAsia="zh-CN"/>
              </w:rPr>
              <w:t>基本要求</w:t>
            </w:r>
          </w:p>
        </w:tc>
        <w:tc>
          <w:tcPr>
            <w:tcW w:w="628" w:type="pct"/>
            <w:vAlign w:val="center"/>
          </w:tcPr>
          <w:p w14:paraId="6454A940">
            <w:pPr>
              <w:pStyle w:val="14"/>
              <w:spacing w:line="360" w:lineRule="atLeast"/>
              <w:rPr>
                <w:rFonts w:hint="eastAsia" w:ascii="仿宋" w:hAnsi="仿宋" w:eastAsia="仿宋" w:cs="仿宋"/>
                <w:b/>
                <w:sz w:val="21"/>
                <w:szCs w:val="21"/>
                <w:highlight w:val="none"/>
                <w:lang w:eastAsia="zh-CN"/>
              </w:rPr>
            </w:pPr>
            <w:r>
              <w:rPr>
                <w:rFonts w:hint="eastAsia" w:ascii="仿宋" w:hAnsi="仿宋" w:eastAsia="仿宋" w:cs="仿宋"/>
                <w:b/>
                <w:sz w:val="21"/>
                <w:szCs w:val="21"/>
                <w:highlight w:val="none"/>
              </w:rPr>
              <w:t>授权方式</w:t>
            </w:r>
          </w:p>
        </w:tc>
        <w:tc>
          <w:tcPr>
            <w:tcW w:w="3839" w:type="pct"/>
          </w:tcPr>
          <w:p w14:paraId="195D6F3B">
            <w:pPr>
              <w:pStyle w:val="14"/>
              <w:spacing w:line="360" w:lineRule="atLeast"/>
              <w:rPr>
                <w:rFonts w:hint="eastAsia" w:ascii="仿宋" w:hAnsi="仿宋" w:eastAsia="仿宋" w:cs="仿宋"/>
                <w:bCs/>
                <w:sz w:val="21"/>
                <w:szCs w:val="21"/>
                <w:highlight w:val="none"/>
                <w:lang w:eastAsia="zh-CN"/>
              </w:rPr>
            </w:pPr>
            <w:r>
              <w:rPr>
                <w:rFonts w:hint="eastAsia" w:ascii="仿宋" w:hAnsi="仿宋" w:eastAsia="仿宋" w:cs="仿宋"/>
                <w:bCs/>
                <w:sz w:val="21"/>
                <w:szCs w:val="21"/>
                <w:highlight w:val="none"/>
                <w:lang w:eastAsia="zh-CN"/>
              </w:rPr>
              <w:t>用户订阅许可。</w:t>
            </w:r>
          </w:p>
        </w:tc>
      </w:tr>
      <w:tr w14:paraId="334EF5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532" w:type="pct"/>
            <w:vMerge w:val="continue"/>
            <w:vAlign w:val="center"/>
          </w:tcPr>
          <w:p w14:paraId="02F4BF2A">
            <w:pPr>
              <w:pStyle w:val="14"/>
              <w:spacing w:line="360" w:lineRule="atLeast"/>
              <w:rPr>
                <w:rFonts w:hint="eastAsia" w:ascii="仿宋" w:hAnsi="仿宋" w:eastAsia="仿宋" w:cs="仿宋"/>
                <w:bCs/>
                <w:sz w:val="21"/>
                <w:szCs w:val="21"/>
                <w:highlight w:val="none"/>
                <w:lang w:eastAsia="zh-CN"/>
              </w:rPr>
            </w:pPr>
          </w:p>
        </w:tc>
        <w:tc>
          <w:tcPr>
            <w:tcW w:w="628" w:type="pct"/>
            <w:vAlign w:val="center"/>
          </w:tcPr>
          <w:p w14:paraId="4175F6D4">
            <w:pPr>
              <w:pStyle w:val="14"/>
              <w:spacing w:line="360" w:lineRule="atLeast"/>
              <w:rPr>
                <w:rFonts w:hint="eastAsia" w:ascii="仿宋" w:hAnsi="仿宋" w:eastAsia="仿宋" w:cs="仿宋"/>
                <w:bCs/>
                <w:sz w:val="21"/>
                <w:szCs w:val="21"/>
                <w:highlight w:val="none"/>
                <w:lang w:eastAsia="zh-CN"/>
              </w:rPr>
            </w:pPr>
            <w:r>
              <w:rPr>
                <w:rFonts w:hint="eastAsia" w:ascii="仿宋" w:hAnsi="仿宋" w:eastAsia="仿宋" w:cs="仿宋"/>
                <w:b w:val="0"/>
                <w:bCs/>
                <w:color w:val="auto"/>
                <w:sz w:val="21"/>
                <w:szCs w:val="21"/>
              </w:rPr>
              <w:t>▲</w:t>
            </w:r>
            <w:r>
              <w:rPr>
                <w:rFonts w:hint="eastAsia" w:ascii="仿宋" w:hAnsi="仿宋" w:eastAsia="仿宋" w:cs="仿宋"/>
                <w:b/>
                <w:sz w:val="21"/>
                <w:szCs w:val="21"/>
                <w:highlight w:val="none"/>
                <w:lang w:eastAsia="zh-CN"/>
              </w:rPr>
              <w:t>数量要求</w:t>
            </w:r>
          </w:p>
        </w:tc>
        <w:tc>
          <w:tcPr>
            <w:tcW w:w="3839" w:type="pct"/>
          </w:tcPr>
          <w:p w14:paraId="519C679B">
            <w:pPr>
              <w:pStyle w:val="14"/>
              <w:keepNext w:val="0"/>
              <w:keepLines w:val="0"/>
              <w:pageBreakBefore w:val="0"/>
              <w:widowControl w:val="0"/>
              <w:kinsoku/>
              <w:wordWrap/>
              <w:overflowPunct/>
              <w:topLinePunct w:val="0"/>
              <w:bidi w:val="0"/>
              <w:adjustRightInd/>
              <w:snapToGrid/>
              <w:spacing w:line="360" w:lineRule="exact"/>
              <w:textAlignment w:val="auto"/>
              <w:rPr>
                <w:rFonts w:hint="eastAsia" w:ascii="仿宋" w:hAnsi="仿宋" w:eastAsia="仿宋" w:cs="仿宋"/>
                <w:bCs/>
                <w:sz w:val="21"/>
                <w:szCs w:val="21"/>
                <w:highlight w:val="none"/>
                <w:lang w:eastAsia="zh-CN"/>
              </w:rPr>
            </w:pPr>
            <w:r>
              <w:rPr>
                <w:rFonts w:hint="eastAsia" w:ascii="仿宋" w:hAnsi="仿宋" w:eastAsia="仿宋" w:cs="仿宋"/>
                <w:bCs/>
                <w:sz w:val="21"/>
                <w:szCs w:val="21"/>
                <w:highlight w:val="none"/>
                <w:lang w:eastAsia="zh-CN"/>
              </w:rPr>
              <w:t>提供教职工授权WPS 365 教育高级版，包含账号</w:t>
            </w:r>
            <w:r>
              <w:rPr>
                <w:rFonts w:hint="eastAsia" w:ascii="仿宋" w:hAnsi="仿宋" w:eastAsia="仿宋" w:cs="仿宋"/>
                <w:bCs/>
                <w:sz w:val="21"/>
                <w:szCs w:val="21"/>
                <w:highlight w:val="none"/>
                <w:lang w:val="en-US" w:eastAsia="zh-CN"/>
              </w:rPr>
              <w:t>不少于1700</w:t>
            </w:r>
            <w:r>
              <w:rPr>
                <w:rFonts w:hint="eastAsia" w:ascii="仿宋" w:hAnsi="仿宋" w:eastAsia="仿宋" w:cs="仿宋"/>
                <w:bCs/>
                <w:sz w:val="21"/>
                <w:szCs w:val="21"/>
                <w:highlight w:val="none"/>
                <w:lang w:eastAsia="zh-CN"/>
              </w:rPr>
              <w:t>个。</w:t>
            </w:r>
          </w:p>
          <w:p w14:paraId="5B1D1B3F">
            <w:pPr>
              <w:pStyle w:val="14"/>
              <w:keepNext w:val="0"/>
              <w:keepLines w:val="0"/>
              <w:pageBreakBefore w:val="0"/>
              <w:widowControl w:val="0"/>
              <w:kinsoku/>
              <w:wordWrap/>
              <w:overflowPunct/>
              <w:topLinePunct w:val="0"/>
              <w:bidi w:val="0"/>
              <w:adjustRightInd/>
              <w:snapToGrid/>
              <w:spacing w:line="360" w:lineRule="exact"/>
              <w:textAlignment w:val="auto"/>
              <w:rPr>
                <w:rFonts w:hint="eastAsia" w:ascii="仿宋" w:hAnsi="仿宋" w:eastAsia="仿宋" w:cs="仿宋"/>
                <w:bCs/>
                <w:sz w:val="21"/>
                <w:szCs w:val="21"/>
                <w:highlight w:val="none"/>
                <w:lang w:eastAsia="zh-CN"/>
              </w:rPr>
            </w:pPr>
            <w:r>
              <w:rPr>
                <w:rFonts w:hint="eastAsia" w:ascii="仿宋" w:hAnsi="仿宋" w:eastAsia="仿宋" w:cs="仿宋"/>
                <w:bCs/>
                <w:sz w:val="21"/>
                <w:szCs w:val="21"/>
                <w:highlight w:val="none"/>
                <w:lang w:eastAsia="zh-CN"/>
              </w:rPr>
              <w:t>提供学生授权</w:t>
            </w:r>
            <w:r>
              <w:rPr>
                <w:rFonts w:hint="eastAsia" w:ascii="仿宋" w:hAnsi="仿宋" w:eastAsia="仿宋" w:cs="仿宋"/>
                <w:bCs/>
                <w:sz w:val="21"/>
                <w:szCs w:val="21"/>
                <w:highlight w:val="none"/>
                <w:lang w:val="en-US" w:eastAsia="zh-CN"/>
              </w:rPr>
              <w:t>WPS 365 教育协作版</w:t>
            </w:r>
            <w:r>
              <w:rPr>
                <w:rFonts w:hint="eastAsia" w:ascii="仿宋" w:hAnsi="仿宋" w:eastAsia="仿宋" w:cs="仿宋"/>
                <w:bCs/>
                <w:sz w:val="21"/>
                <w:szCs w:val="21"/>
                <w:highlight w:val="none"/>
                <w:lang w:eastAsia="zh-CN"/>
              </w:rPr>
              <w:t>，包含账号</w:t>
            </w:r>
            <w:r>
              <w:rPr>
                <w:rFonts w:hint="eastAsia" w:ascii="仿宋" w:hAnsi="仿宋" w:eastAsia="仿宋" w:cs="仿宋"/>
                <w:bCs/>
                <w:sz w:val="21"/>
                <w:szCs w:val="21"/>
                <w:highlight w:val="none"/>
                <w:lang w:val="en-US" w:eastAsia="zh-CN"/>
              </w:rPr>
              <w:t>不少于17</w:t>
            </w:r>
            <w:r>
              <w:rPr>
                <w:rFonts w:hint="eastAsia" w:ascii="仿宋" w:hAnsi="仿宋" w:eastAsia="仿宋" w:cs="仿宋"/>
                <w:bCs/>
                <w:sz w:val="21"/>
                <w:szCs w:val="21"/>
                <w:highlight w:val="none"/>
                <w:lang w:eastAsia="zh-CN"/>
              </w:rPr>
              <w:t>000个。</w:t>
            </w:r>
          </w:p>
          <w:p w14:paraId="3AF8029E">
            <w:pPr>
              <w:pStyle w:val="14"/>
              <w:keepNext w:val="0"/>
              <w:keepLines w:val="0"/>
              <w:pageBreakBefore w:val="0"/>
              <w:widowControl w:val="0"/>
              <w:kinsoku/>
              <w:wordWrap/>
              <w:overflowPunct/>
              <w:topLinePunct w:val="0"/>
              <w:bidi w:val="0"/>
              <w:adjustRightInd/>
              <w:snapToGrid/>
              <w:spacing w:line="360" w:lineRule="exact"/>
              <w:textAlignment w:val="auto"/>
              <w:rPr>
                <w:rFonts w:hint="eastAsia" w:ascii="仿宋" w:hAnsi="仿宋" w:eastAsia="仿宋" w:cs="仿宋"/>
                <w:bCs/>
                <w:sz w:val="21"/>
                <w:szCs w:val="21"/>
                <w:highlight w:val="none"/>
                <w:lang w:eastAsia="zh-CN"/>
              </w:rPr>
            </w:pPr>
            <w:r>
              <w:rPr>
                <w:rFonts w:hint="eastAsia" w:ascii="仿宋" w:hAnsi="仿宋" w:eastAsia="仿宋" w:cs="仿宋"/>
                <w:bCs/>
                <w:sz w:val="21"/>
                <w:szCs w:val="21"/>
                <w:highlight w:val="none"/>
                <w:lang w:eastAsia="zh-CN"/>
              </w:rPr>
              <w:t>提供</w:t>
            </w:r>
            <w:r>
              <w:rPr>
                <w:rFonts w:hint="eastAsia" w:ascii="仿宋" w:hAnsi="仿宋" w:eastAsia="仿宋" w:cs="仿宋"/>
                <w:bCs/>
                <w:sz w:val="21"/>
                <w:szCs w:val="21"/>
                <w:highlight w:val="none"/>
                <w:lang w:val="en-US" w:eastAsia="zh-CN"/>
              </w:rPr>
              <w:t>WPS 365 教育旗舰版</w:t>
            </w:r>
            <w:r>
              <w:rPr>
                <w:rFonts w:hint="eastAsia" w:ascii="仿宋" w:hAnsi="仿宋" w:eastAsia="仿宋" w:cs="仿宋"/>
                <w:bCs/>
                <w:sz w:val="21"/>
                <w:szCs w:val="21"/>
                <w:highlight w:val="none"/>
                <w:lang w:eastAsia="zh-CN"/>
              </w:rPr>
              <w:t>，包含账号</w:t>
            </w:r>
            <w:r>
              <w:rPr>
                <w:rFonts w:hint="eastAsia" w:ascii="仿宋" w:hAnsi="仿宋" w:eastAsia="仿宋" w:cs="仿宋"/>
                <w:bCs/>
                <w:sz w:val="21"/>
                <w:szCs w:val="21"/>
                <w:highlight w:val="none"/>
                <w:lang w:val="en-US" w:eastAsia="zh-CN"/>
              </w:rPr>
              <w:t>不少于1</w:t>
            </w:r>
            <w:r>
              <w:rPr>
                <w:rFonts w:hint="eastAsia" w:ascii="仿宋" w:hAnsi="仿宋" w:eastAsia="仿宋" w:cs="仿宋"/>
                <w:bCs/>
                <w:sz w:val="21"/>
                <w:szCs w:val="21"/>
                <w:highlight w:val="none"/>
                <w:lang w:eastAsia="zh-CN"/>
              </w:rPr>
              <w:t>00个。</w:t>
            </w:r>
          </w:p>
          <w:p w14:paraId="7CCBE008">
            <w:pPr>
              <w:pStyle w:val="14"/>
              <w:keepNext w:val="0"/>
              <w:keepLines w:val="0"/>
              <w:pageBreakBefore w:val="0"/>
              <w:widowControl w:val="0"/>
              <w:kinsoku/>
              <w:wordWrap/>
              <w:overflowPunct/>
              <w:topLinePunct w:val="0"/>
              <w:bidi w:val="0"/>
              <w:adjustRightInd/>
              <w:snapToGrid/>
              <w:spacing w:line="360" w:lineRule="exact"/>
              <w:textAlignment w:val="auto"/>
              <w:rPr>
                <w:rFonts w:hint="eastAsia" w:ascii="仿宋" w:hAnsi="仿宋" w:eastAsia="仿宋" w:cs="仿宋"/>
                <w:bCs/>
                <w:sz w:val="21"/>
                <w:szCs w:val="21"/>
                <w:highlight w:val="none"/>
              </w:rPr>
            </w:pPr>
            <w:r>
              <w:rPr>
                <w:rFonts w:hint="eastAsia" w:ascii="仿宋" w:hAnsi="仿宋" w:eastAsia="仿宋" w:cs="仿宋"/>
                <w:b/>
                <w:bCs w:val="0"/>
                <w:sz w:val="21"/>
                <w:szCs w:val="21"/>
                <w:highlight w:val="none"/>
                <w:lang w:eastAsia="zh-CN"/>
              </w:rPr>
              <w:t>（</w:t>
            </w:r>
            <w:r>
              <w:rPr>
                <w:rFonts w:hint="eastAsia" w:ascii="仿宋" w:hAnsi="仿宋" w:eastAsia="仿宋" w:cs="仿宋"/>
                <w:b/>
                <w:bCs w:val="0"/>
                <w:sz w:val="21"/>
                <w:szCs w:val="21"/>
                <w:highlight w:val="none"/>
                <w:lang w:val="en-US" w:eastAsia="zh-CN"/>
              </w:rPr>
              <w:t>提供承诺函加盖公章</w:t>
            </w:r>
            <w:r>
              <w:rPr>
                <w:rFonts w:hint="eastAsia" w:ascii="仿宋" w:hAnsi="仿宋" w:eastAsia="仿宋" w:cs="仿宋"/>
                <w:b/>
                <w:bCs w:val="0"/>
                <w:sz w:val="21"/>
                <w:szCs w:val="21"/>
                <w:highlight w:val="none"/>
                <w:lang w:eastAsia="zh-CN"/>
              </w:rPr>
              <w:t>）</w:t>
            </w:r>
          </w:p>
        </w:tc>
      </w:tr>
      <w:tr w14:paraId="7B27F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atLeast"/>
          <w:jc w:val="center"/>
        </w:trPr>
        <w:tc>
          <w:tcPr>
            <w:tcW w:w="532" w:type="pct"/>
            <w:vMerge w:val="continue"/>
            <w:vAlign w:val="center"/>
          </w:tcPr>
          <w:p w14:paraId="209AAFC2">
            <w:pPr>
              <w:pStyle w:val="14"/>
              <w:spacing w:line="360" w:lineRule="atLeast"/>
              <w:rPr>
                <w:rFonts w:hint="eastAsia" w:ascii="仿宋" w:hAnsi="仿宋" w:eastAsia="仿宋" w:cs="仿宋"/>
                <w:bCs/>
                <w:sz w:val="21"/>
                <w:szCs w:val="21"/>
                <w:highlight w:val="none"/>
                <w:lang w:eastAsia="zh-CN"/>
              </w:rPr>
            </w:pPr>
          </w:p>
        </w:tc>
        <w:tc>
          <w:tcPr>
            <w:tcW w:w="628" w:type="pct"/>
            <w:vAlign w:val="center"/>
          </w:tcPr>
          <w:p w14:paraId="3E6EDE2D">
            <w:pPr>
              <w:pStyle w:val="14"/>
              <w:spacing w:line="360" w:lineRule="atLeast"/>
              <w:rPr>
                <w:rFonts w:hint="eastAsia" w:ascii="仿宋" w:hAnsi="仿宋" w:eastAsia="仿宋" w:cs="仿宋"/>
                <w:b/>
                <w:sz w:val="21"/>
                <w:szCs w:val="21"/>
                <w:highlight w:val="none"/>
                <w:lang w:eastAsia="zh-CN"/>
              </w:rPr>
            </w:pPr>
            <w:r>
              <w:rPr>
                <w:rFonts w:hint="eastAsia" w:ascii="仿宋" w:hAnsi="仿宋" w:eastAsia="仿宋" w:cs="仿宋"/>
                <w:b/>
                <w:sz w:val="21"/>
                <w:szCs w:val="21"/>
                <w:highlight w:val="none"/>
                <w:lang w:eastAsia="zh-CN"/>
              </w:rPr>
              <w:t>合约期限</w:t>
            </w:r>
          </w:p>
        </w:tc>
        <w:tc>
          <w:tcPr>
            <w:tcW w:w="3839" w:type="pct"/>
          </w:tcPr>
          <w:p w14:paraId="61B41BAA">
            <w:pPr>
              <w:pStyle w:val="14"/>
              <w:keepNext w:val="0"/>
              <w:keepLines w:val="0"/>
              <w:pageBreakBefore w:val="0"/>
              <w:widowControl w:val="0"/>
              <w:kinsoku/>
              <w:wordWrap/>
              <w:overflowPunct/>
              <w:topLinePunct w:val="0"/>
              <w:bidi w:val="0"/>
              <w:adjustRightInd/>
              <w:snapToGrid/>
              <w:spacing w:line="360" w:lineRule="exact"/>
              <w:textAlignment w:val="auto"/>
              <w:rPr>
                <w:rFonts w:hint="eastAsia" w:ascii="仿宋" w:hAnsi="仿宋" w:eastAsia="仿宋" w:cs="仿宋"/>
                <w:bCs/>
                <w:sz w:val="21"/>
                <w:szCs w:val="21"/>
                <w:highlight w:val="none"/>
                <w:lang w:eastAsia="zh-CN"/>
              </w:rPr>
            </w:pPr>
            <w:r>
              <w:rPr>
                <w:rFonts w:hint="eastAsia" w:ascii="仿宋" w:hAnsi="仿宋" w:eastAsia="仿宋" w:cs="仿宋"/>
                <w:bCs/>
                <w:sz w:val="21"/>
                <w:szCs w:val="21"/>
                <w:highlight w:val="none"/>
                <w:lang w:val="en-US" w:eastAsia="zh-CN"/>
              </w:rPr>
              <w:t>1</w:t>
            </w:r>
            <w:r>
              <w:rPr>
                <w:rFonts w:hint="eastAsia" w:ascii="仿宋" w:hAnsi="仿宋" w:eastAsia="仿宋" w:cs="仿宋"/>
                <w:bCs/>
                <w:sz w:val="21"/>
                <w:szCs w:val="21"/>
                <w:highlight w:val="none"/>
                <w:lang w:eastAsia="zh-CN"/>
              </w:rPr>
              <w:t>年（从</w:t>
            </w:r>
            <w:r>
              <w:rPr>
                <w:rFonts w:hint="eastAsia" w:ascii="仿宋" w:hAnsi="仿宋" w:eastAsia="仿宋" w:cs="仿宋"/>
                <w:bCs/>
                <w:sz w:val="21"/>
                <w:szCs w:val="21"/>
                <w:highlight w:val="none"/>
                <w:lang w:val="en-US" w:eastAsia="zh-CN"/>
              </w:rPr>
              <w:t>2026年11月25日起</w:t>
            </w:r>
            <w:r>
              <w:rPr>
                <w:rFonts w:hint="eastAsia" w:ascii="仿宋" w:hAnsi="仿宋" w:eastAsia="仿宋" w:cs="仿宋"/>
                <w:bCs/>
                <w:sz w:val="21"/>
                <w:szCs w:val="21"/>
                <w:highlight w:val="none"/>
                <w:lang w:eastAsia="zh-CN"/>
              </w:rPr>
              <w:t>开始计算</w:t>
            </w:r>
            <w:r>
              <w:rPr>
                <w:rFonts w:hint="eastAsia" w:ascii="仿宋" w:hAnsi="仿宋" w:eastAsia="仿宋" w:cs="仿宋"/>
                <w:bCs/>
                <w:sz w:val="21"/>
                <w:szCs w:val="21"/>
                <w:highlight w:val="none"/>
                <w:lang w:val="en-US" w:eastAsia="zh-CN"/>
              </w:rPr>
              <w:t>1</w:t>
            </w:r>
            <w:r>
              <w:rPr>
                <w:rFonts w:hint="eastAsia" w:ascii="仿宋" w:hAnsi="仿宋" w:eastAsia="仿宋" w:cs="仿宋"/>
                <w:bCs/>
                <w:sz w:val="21"/>
                <w:szCs w:val="21"/>
                <w:highlight w:val="none"/>
                <w:lang w:eastAsia="zh-CN"/>
              </w:rPr>
              <w:t>年）</w:t>
            </w:r>
          </w:p>
          <w:p w14:paraId="1F6935CF">
            <w:pPr>
              <w:pStyle w:val="14"/>
              <w:keepNext w:val="0"/>
              <w:keepLines w:val="0"/>
              <w:pageBreakBefore w:val="0"/>
              <w:widowControl w:val="0"/>
              <w:kinsoku/>
              <w:wordWrap/>
              <w:overflowPunct/>
              <w:topLinePunct w:val="0"/>
              <w:bidi w:val="0"/>
              <w:adjustRightInd/>
              <w:snapToGrid/>
              <w:spacing w:line="360" w:lineRule="exact"/>
              <w:textAlignment w:val="auto"/>
              <w:rPr>
                <w:rFonts w:hint="eastAsia" w:ascii="仿宋" w:hAnsi="仿宋" w:eastAsia="仿宋" w:cs="仿宋"/>
                <w:bCs/>
                <w:sz w:val="21"/>
                <w:szCs w:val="21"/>
                <w:highlight w:val="none"/>
                <w:lang w:eastAsia="zh-CN"/>
              </w:rPr>
            </w:pPr>
            <w:r>
              <w:rPr>
                <w:rFonts w:hint="eastAsia" w:ascii="仿宋" w:hAnsi="仿宋" w:eastAsia="仿宋" w:cs="仿宋"/>
                <w:bCs/>
                <w:sz w:val="21"/>
                <w:szCs w:val="21"/>
                <w:highlight w:val="none"/>
                <w:lang w:eastAsia="zh-CN"/>
              </w:rPr>
              <w:t>备注：本项目采取一次招标三年沿用、实行合同一年一签、分期考核、分期付款的办法。如预算不能到位，采购人可与成交供应商按约定变更采购合同。一年期满后，采购人根据相关政策以及中标人服务质量与中标人续签下一年合同，但中标价不予调整。</w:t>
            </w:r>
          </w:p>
        </w:tc>
      </w:tr>
      <w:tr w14:paraId="14F42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jc w:val="center"/>
        </w:trPr>
        <w:tc>
          <w:tcPr>
            <w:tcW w:w="532" w:type="pct"/>
            <w:vMerge w:val="continue"/>
            <w:vAlign w:val="center"/>
          </w:tcPr>
          <w:p w14:paraId="47632498">
            <w:pPr>
              <w:pStyle w:val="14"/>
              <w:spacing w:line="360" w:lineRule="atLeast"/>
              <w:rPr>
                <w:rFonts w:hint="eastAsia" w:ascii="仿宋" w:hAnsi="仿宋" w:eastAsia="仿宋" w:cs="仿宋"/>
                <w:bCs/>
                <w:sz w:val="21"/>
                <w:szCs w:val="21"/>
                <w:highlight w:val="none"/>
                <w:lang w:eastAsia="zh-CN"/>
              </w:rPr>
            </w:pPr>
          </w:p>
        </w:tc>
        <w:tc>
          <w:tcPr>
            <w:tcW w:w="628" w:type="pct"/>
            <w:vAlign w:val="center"/>
          </w:tcPr>
          <w:p w14:paraId="6D7B16C0">
            <w:pPr>
              <w:pStyle w:val="14"/>
              <w:spacing w:line="360" w:lineRule="atLeast"/>
              <w:rPr>
                <w:rFonts w:hint="eastAsia" w:ascii="仿宋" w:hAnsi="仿宋" w:eastAsia="仿宋" w:cs="仿宋"/>
                <w:b/>
                <w:sz w:val="21"/>
                <w:szCs w:val="21"/>
                <w:highlight w:val="none"/>
                <w:lang w:eastAsia="zh-CN"/>
              </w:rPr>
            </w:pPr>
            <w:r>
              <w:rPr>
                <w:rFonts w:hint="eastAsia" w:ascii="仿宋" w:hAnsi="仿宋" w:eastAsia="仿宋" w:cs="仿宋"/>
                <w:b/>
                <w:sz w:val="21"/>
                <w:szCs w:val="21"/>
                <w:highlight w:val="none"/>
                <w:lang w:eastAsia="zh-CN"/>
              </w:rPr>
              <w:t>售后服务期</w:t>
            </w:r>
          </w:p>
        </w:tc>
        <w:tc>
          <w:tcPr>
            <w:tcW w:w="3839" w:type="pct"/>
          </w:tcPr>
          <w:p w14:paraId="62DE74F6">
            <w:pPr>
              <w:pStyle w:val="14"/>
              <w:keepNext w:val="0"/>
              <w:keepLines w:val="0"/>
              <w:pageBreakBefore w:val="0"/>
              <w:widowControl w:val="0"/>
              <w:kinsoku/>
              <w:wordWrap/>
              <w:overflowPunct/>
              <w:topLinePunct w:val="0"/>
              <w:bidi w:val="0"/>
              <w:adjustRightInd/>
              <w:snapToGrid/>
              <w:spacing w:line="360" w:lineRule="exact"/>
              <w:textAlignment w:val="auto"/>
              <w:rPr>
                <w:rFonts w:hint="eastAsia" w:ascii="仿宋" w:hAnsi="仿宋" w:eastAsia="仿宋" w:cs="仿宋"/>
                <w:bCs/>
                <w:sz w:val="21"/>
                <w:szCs w:val="21"/>
                <w:highlight w:val="none"/>
                <w:lang w:eastAsia="zh-CN"/>
              </w:rPr>
            </w:pPr>
            <w:r>
              <w:rPr>
                <w:rFonts w:hint="eastAsia" w:ascii="仿宋" w:hAnsi="仿宋" w:eastAsia="仿宋" w:cs="仿宋"/>
                <w:bCs/>
                <w:sz w:val="21"/>
                <w:szCs w:val="21"/>
                <w:highlight w:val="none"/>
                <w:lang w:val="en-US" w:eastAsia="zh-CN"/>
              </w:rPr>
              <w:t>1</w:t>
            </w:r>
            <w:r>
              <w:rPr>
                <w:rFonts w:hint="eastAsia" w:ascii="仿宋" w:hAnsi="仿宋" w:eastAsia="仿宋" w:cs="仿宋"/>
                <w:bCs/>
                <w:sz w:val="21"/>
                <w:szCs w:val="21"/>
                <w:highlight w:val="none"/>
                <w:lang w:eastAsia="zh-CN"/>
              </w:rPr>
              <w:t>年，与合约期限相同。</w:t>
            </w:r>
          </w:p>
        </w:tc>
      </w:tr>
      <w:tr w14:paraId="173C4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jc w:val="center"/>
        </w:trPr>
        <w:tc>
          <w:tcPr>
            <w:tcW w:w="532" w:type="pct"/>
            <w:vMerge w:val="continue"/>
            <w:vAlign w:val="center"/>
          </w:tcPr>
          <w:p w14:paraId="61DD6160">
            <w:pPr>
              <w:pStyle w:val="14"/>
              <w:spacing w:line="360" w:lineRule="atLeast"/>
              <w:rPr>
                <w:rFonts w:hint="eastAsia" w:ascii="仿宋" w:hAnsi="仿宋" w:eastAsia="仿宋" w:cs="仿宋"/>
                <w:bCs/>
                <w:sz w:val="21"/>
                <w:szCs w:val="21"/>
                <w:highlight w:val="none"/>
                <w:lang w:eastAsia="zh-CN"/>
              </w:rPr>
            </w:pPr>
          </w:p>
        </w:tc>
        <w:tc>
          <w:tcPr>
            <w:tcW w:w="628" w:type="pct"/>
            <w:vAlign w:val="center"/>
          </w:tcPr>
          <w:p w14:paraId="60EC24C4">
            <w:pPr>
              <w:pStyle w:val="14"/>
              <w:spacing w:line="360" w:lineRule="atLeast"/>
              <w:rPr>
                <w:rFonts w:hint="eastAsia" w:ascii="仿宋" w:hAnsi="仿宋" w:eastAsia="仿宋" w:cs="仿宋"/>
                <w:b/>
                <w:sz w:val="21"/>
                <w:szCs w:val="21"/>
                <w:highlight w:val="none"/>
                <w:lang w:eastAsia="zh-CN"/>
              </w:rPr>
            </w:pPr>
            <w:r>
              <w:rPr>
                <w:rFonts w:hint="eastAsia" w:ascii="仿宋" w:hAnsi="仿宋" w:eastAsia="仿宋" w:cs="仿宋"/>
                <w:b/>
                <w:sz w:val="21"/>
                <w:szCs w:val="21"/>
                <w:highlight w:val="none"/>
                <w:lang w:eastAsia="zh-CN"/>
              </w:rPr>
              <w:t>技术支持</w:t>
            </w:r>
          </w:p>
        </w:tc>
        <w:tc>
          <w:tcPr>
            <w:tcW w:w="3839" w:type="pct"/>
          </w:tcPr>
          <w:p w14:paraId="0B8F207A">
            <w:pPr>
              <w:pStyle w:val="14"/>
              <w:keepNext w:val="0"/>
              <w:keepLines w:val="0"/>
              <w:pageBreakBefore w:val="0"/>
              <w:widowControl w:val="0"/>
              <w:kinsoku/>
              <w:wordWrap/>
              <w:overflowPunct/>
              <w:topLinePunct w:val="0"/>
              <w:bidi w:val="0"/>
              <w:adjustRightInd/>
              <w:snapToGrid/>
              <w:spacing w:line="360" w:lineRule="exact"/>
              <w:textAlignment w:val="auto"/>
              <w:rPr>
                <w:rFonts w:hint="eastAsia" w:ascii="仿宋" w:hAnsi="仿宋" w:eastAsia="仿宋" w:cs="仿宋"/>
                <w:bCs/>
                <w:sz w:val="21"/>
                <w:szCs w:val="21"/>
                <w:highlight w:val="none"/>
                <w:lang w:eastAsia="zh-CN"/>
              </w:rPr>
            </w:pPr>
            <w:r>
              <w:rPr>
                <w:rFonts w:hint="eastAsia" w:ascii="仿宋" w:hAnsi="仿宋" w:eastAsia="仿宋" w:cs="仿宋"/>
                <w:bCs/>
                <w:sz w:val="21"/>
                <w:szCs w:val="21"/>
                <w:highlight w:val="none"/>
                <w:lang w:eastAsia="zh-CN"/>
              </w:rPr>
              <w:t>提供软件补丁更新和技术支持（包括电话支持和在线支持）</w:t>
            </w:r>
          </w:p>
          <w:p w14:paraId="0E405B51">
            <w:pPr>
              <w:pStyle w:val="14"/>
              <w:keepNext w:val="0"/>
              <w:keepLines w:val="0"/>
              <w:pageBreakBefore w:val="0"/>
              <w:widowControl w:val="0"/>
              <w:kinsoku/>
              <w:wordWrap/>
              <w:overflowPunct/>
              <w:topLinePunct w:val="0"/>
              <w:bidi w:val="0"/>
              <w:adjustRightInd/>
              <w:snapToGrid/>
              <w:spacing w:line="360" w:lineRule="exact"/>
              <w:textAlignment w:val="auto"/>
              <w:rPr>
                <w:rFonts w:hint="eastAsia" w:ascii="仿宋" w:hAnsi="仿宋" w:eastAsia="仿宋" w:cs="仿宋"/>
                <w:bCs/>
                <w:sz w:val="21"/>
                <w:szCs w:val="21"/>
                <w:highlight w:val="none"/>
                <w:lang w:eastAsia="zh-CN"/>
              </w:rPr>
            </w:pPr>
            <w:r>
              <w:rPr>
                <w:rFonts w:hint="eastAsia" w:ascii="仿宋" w:hAnsi="仿宋" w:eastAsia="仿宋" w:cs="仿宋"/>
                <w:bCs/>
                <w:sz w:val="21"/>
                <w:szCs w:val="21"/>
                <w:highlight w:val="none"/>
                <w:lang w:eastAsia="zh-CN"/>
              </w:rPr>
              <w:t>由软件生产商提供所有版本软件的7*24小时技术支持与服务，服务形式包括在线、电话、邮件、远程、现场等多种形式。</w:t>
            </w:r>
          </w:p>
        </w:tc>
      </w:tr>
      <w:tr w14:paraId="16F8D9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jc w:val="center"/>
        </w:trPr>
        <w:tc>
          <w:tcPr>
            <w:tcW w:w="532" w:type="pct"/>
            <w:vMerge w:val="continue"/>
            <w:vAlign w:val="center"/>
          </w:tcPr>
          <w:p w14:paraId="078A0F56">
            <w:pPr>
              <w:pStyle w:val="14"/>
              <w:spacing w:line="360" w:lineRule="atLeast"/>
              <w:rPr>
                <w:rFonts w:hint="eastAsia" w:ascii="仿宋" w:hAnsi="仿宋" w:eastAsia="仿宋" w:cs="仿宋"/>
                <w:bCs/>
                <w:sz w:val="21"/>
                <w:szCs w:val="21"/>
                <w:highlight w:val="none"/>
                <w:lang w:eastAsia="zh-CN"/>
              </w:rPr>
            </w:pPr>
          </w:p>
        </w:tc>
        <w:tc>
          <w:tcPr>
            <w:tcW w:w="628" w:type="pct"/>
            <w:vAlign w:val="center"/>
          </w:tcPr>
          <w:p w14:paraId="0796B8D0">
            <w:pPr>
              <w:pStyle w:val="14"/>
              <w:spacing w:line="360" w:lineRule="atLeast"/>
              <w:jc w:val="both"/>
              <w:rPr>
                <w:rFonts w:hint="eastAsia" w:ascii="仿宋" w:hAnsi="仿宋" w:eastAsia="仿宋" w:cs="仿宋"/>
                <w:b/>
                <w:sz w:val="21"/>
                <w:szCs w:val="21"/>
                <w:highlight w:val="none"/>
                <w:lang w:eastAsia="zh-CN"/>
              </w:rPr>
            </w:pPr>
            <w:r>
              <w:rPr>
                <w:rFonts w:hint="eastAsia" w:ascii="仿宋" w:hAnsi="仿宋" w:eastAsia="仿宋" w:cs="仿宋"/>
                <w:bCs/>
                <w:sz w:val="21"/>
                <w:szCs w:val="21"/>
                <w:highlight w:val="none"/>
                <w:lang w:val="en-US" w:eastAsia="zh-CN"/>
              </w:rPr>
              <w:t>产品要求</w:t>
            </w:r>
          </w:p>
        </w:tc>
        <w:tc>
          <w:tcPr>
            <w:tcW w:w="3839" w:type="pct"/>
            <w:vAlign w:val="center"/>
          </w:tcPr>
          <w:p w14:paraId="0074FC2C">
            <w:pPr>
              <w:pStyle w:val="14"/>
              <w:keepNext w:val="0"/>
              <w:keepLines w:val="0"/>
              <w:pageBreakBefore w:val="0"/>
              <w:widowControl w:val="0"/>
              <w:kinsoku/>
              <w:wordWrap/>
              <w:overflowPunct/>
              <w:topLinePunct w:val="0"/>
              <w:bidi w:val="0"/>
              <w:adjustRightInd/>
              <w:snapToGrid/>
              <w:spacing w:line="360" w:lineRule="exact"/>
              <w:jc w:val="both"/>
              <w:textAlignment w:val="auto"/>
              <w:rPr>
                <w:rFonts w:hint="eastAsia" w:ascii="仿宋" w:hAnsi="仿宋" w:eastAsia="仿宋" w:cs="仿宋"/>
                <w:bCs/>
                <w:sz w:val="21"/>
                <w:szCs w:val="21"/>
                <w:highlight w:val="none"/>
                <w:lang w:eastAsia="zh-CN"/>
              </w:rPr>
            </w:pPr>
            <w:r>
              <w:rPr>
                <w:rFonts w:hint="eastAsia" w:ascii="仿宋" w:hAnsi="仿宋" w:eastAsia="仿宋" w:cs="仿宋"/>
                <w:bCs/>
                <w:sz w:val="21"/>
                <w:szCs w:val="21"/>
                <w:highlight w:val="none"/>
                <w:lang w:eastAsia="zh-CN"/>
              </w:rPr>
              <w:t>★供应商提供的软件产品应是软件厂家授权许可的产品，应保证使用方不受到第三方关于侵权的指控，并承担由于提供投标软件而引起的一切法律责任、费用和后果。</w:t>
            </w:r>
            <w:r>
              <w:rPr>
                <w:rFonts w:hint="eastAsia" w:ascii="仿宋" w:hAnsi="仿宋" w:eastAsia="仿宋" w:cs="仿宋"/>
                <w:b/>
                <w:bCs w:val="0"/>
                <w:sz w:val="21"/>
                <w:szCs w:val="21"/>
                <w:highlight w:val="none"/>
                <w:lang w:eastAsia="zh-CN"/>
              </w:rPr>
              <w:t>（</w:t>
            </w:r>
            <w:r>
              <w:rPr>
                <w:rFonts w:hint="eastAsia" w:ascii="仿宋" w:hAnsi="仿宋" w:eastAsia="仿宋" w:cs="仿宋"/>
                <w:b/>
                <w:bCs w:val="0"/>
                <w:sz w:val="21"/>
                <w:szCs w:val="21"/>
                <w:highlight w:val="none"/>
                <w:lang w:val="en-US" w:eastAsia="zh-CN"/>
              </w:rPr>
              <w:t>提供承诺函加盖公章</w:t>
            </w:r>
            <w:r>
              <w:rPr>
                <w:rFonts w:hint="eastAsia" w:ascii="仿宋" w:hAnsi="仿宋" w:eastAsia="仿宋" w:cs="仿宋"/>
                <w:b/>
                <w:bCs w:val="0"/>
                <w:sz w:val="21"/>
                <w:szCs w:val="21"/>
                <w:highlight w:val="none"/>
                <w:lang w:eastAsia="zh-CN"/>
              </w:rPr>
              <w:t>）</w:t>
            </w:r>
          </w:p>
        </w:tc>
      </w:tr>
      <w:tr w14:paraId="307C7B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32" w:type="pct"/>
            <w:vMerge w:val="restart"/>
            <w:vAlign w:val="center"/>
          </w:tcPr>
          <w:p w14:paraId="1125097C">
            <w:pPr>
              <w:pStyle w:val="14"/>
              <w:spacing w:line="360" w:lineRule="atLeast"/>
              <w:jc w:val="center"/>
              <w:rPr>
                <w:rFonts w:hint="eastAsia" w:ascii="仿宋" w:hAnsi="仿宋" w:eastAsia="仿宋" w:cs="仿宋"/>
                <w:sz w:val="21"/>
                <w:szCs w:val="21"/>
                <w:highlight w:val="none"/>
                <w:lang w:eastAsia="zh-CN"/>
              </w:rPr>
            </w:pPr>
            <w:r>
              <w:rPr>
                <w:rFonts w:hint="eastAsia" w:ascii="仿宋" w:hAnsi="仿宋" w:eastAsia="仿宋" w:cs="仿宋"/>
                <w:color w:val="000000"/>
                <w:sz w:val="21"/>
                <w:szCs w:val="21"/>
                <w:highlight w:val="none"/>
                <w:lang w:eastAsia="zh-CN"/>
              </w:rPr>
              <w:t>WPS 365 教育高级版（不少于</w:t>
            </w:r>
            <w:r>
              <w:rPr>
                <w:rFonts w:hint="eastAsia" w:ascii="仿宋" w:hAnsi="仿宋" w:eastAsia="仿宋" w:cs="仿宋"/>
                <w:color w:val="000000"/>
                <w:sz w:val="21"/>
                <w:szCs w:val="21"/>
                <w:highlight w:val="none"/>
                <w:lang w:val="en-US" w:eastAsia="zh-CN"/>
              </w:rPr>
              <w:t>17</w:t>
            </w:r>
            <w:r>
              <w:rPr>
                <w:rFonts w:hint="eastAsia" w:ascii="仿宋" w:hAnsi="仿宋" w:eastAsia="仿宋" w:cs="仿宋"/>
                <w:color w:val="000000"/>
                <w:sz w:val="21"/>
                <w:szCs w:val="21"/>
                <w:highlight w:val="none"/>
                <w:lang w:eastAsia="zh-CN"/>
              </w:rPr>
              <w:t>00</w:t>
            </w:r>
            <w:r>
              <w:rPr>
                <w:rFonts w:hint="eastAsia" w:ascii="仿宋" w:hAnsi="仿宋" w:eastAsia="仿宋" w:cs="仿宋"/>
                <w:color w:val="000000"/>
                <w:sz w:val="21"/>
                <w:szCs w:val="21"/>
                <w:highlight w:val="none"/>
                <w:lang w:val="en-US" w:eastAsia="zh-CN"/>
              </w:rPr>
              <w:t>个账号</w:t>
            </w:r>
            <w:r>
              <w:rPr>
                <w:rFonts w:hint="eastAsia" w:ascii="仿宋" w:hAnsi="仿宋" w:eastAsia="仿宋" w:cs="仿宋"/>
                <w:color w:val="000000"/>
                <w:sz w:val="21"/>
                <w:szCs w:val="21"/>
                <w:highlight w:val="none"/>
                <w:lang w:eastAsia="zh-CN"/>
              </w:rPr>
              <w:t>）</w:t>
            </w:r>
          </w:p>
        </w:tc>
        <w:tc>
          <w:tcPr>
            <w:tcW w:w="628" w:type="pct"/>
            <w:tcBorders>
              <w:top w:val="single" w:color="auto" w:sz="4" w:space="0"/>
              <w:left w:val="single" w:color="auto" w:sz="4" w:space="0"/>
              <w:right w:val="single" w:color="auto" w:sz="4" w:space="0"/>
            </w:tcBorders>
            <w:vAlign w:val="center"/>
          </w:tcPr>
          <w:p w14:paraId="3AE365C6">
            <w:pPr>
              <w:autoSpaceDE w:val="0"/>
              <w:autoSpaceDN w:val="0"/>
              <w:spacing w:line="360" w:lineRule="atLeast"/>
              <w:jc w:val="center"/>
              <w:rPr>
                <w:rFonts w:hint="eastAsia" w:ascii="仿宋" w:hAnsi="仿宋" w:eastAsia="仿宋" w:cs="仿宋"/>
                <w:bCs/>
                <w:sz w:val="21"/>
                <w:szCs w:val="21"/>
                <w:highlight w:val="none"/>
                <w:lang w:eastAsia="en-US"/>
              </w:rPr>
            </w:pPr>
            <w:r>
              <w:rPr>
                <w:rFonts w:hint="eastAsia" w:ascii="仿宋" w:hAnsi="仿宋" w:eastAsia="仿宋" w:cs="仿宋"/>
                <w:b/>
                <w:bCs/>
                <w:sz w:val="21"/>
                <w:szCs w:val="21"/>
                <w:highlight w:val="none"/>
              </w:rPr>
              <w:t>云端存储指标</w:t>
            </w:r>
          </w:p>
        </w:tc>
        <w:tc>
          <w:tcPr>
            <w:tcW w:w="3839" w:type="pct"/>
            <w:tcBorders>
              <w:left w:val="single" w:color="auto" w:sz="4" w:space="0"/>
            </w:tcBorders>
          </w:tcPr>
          <w:p w14:paraId="6C5E5683">
            <w:pPr>
              <w:pStyle w:val="9"/>
              <w:keepNext w:val="0"/>
              <w:keepLines w:val="0"/>
              <w:pageBreakBefore w:val="0"/>
              <w:widowControl w:val="0"/>
              <w:numPr>
                <w:ilvl w:val="0"/>
                <w:numId w:val="4"/>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b w:val="0"/>
                <w:bCs/>
                <w:color w:val="auto"/>
                <w:sz w:val="21"/>
                <w:szCs w:val="21"/>
              </w:rPr>
              <w:t>▲</w:t>
            </w:r>
            <w:r>
              <w:rPr>
                <w:rFonts w:hint="eastAsia" w:ascii="仿宋" w:hAnsi="仿宋" w:eastAsia="仿宋" w:cs="仿宋"/>
                <w:sz w:val="21"/>
                <w:szCs w:val="21"/>
                <w:highlight w:val="none"/>
              </w:rPr>
              <w:t>云文档空间具备365GB/人的存储容量，还可以根据教师使用情况进行分配。</w:t>
            </w:r>
            <w:r>
              <w:rPr>
                <w:rFonts w:hint="eastAsia" w:ascii="仿宋" w:hAnsi="仿宋" w:eastAsia="仿宋" w:cs="仿宋"/>
                <w:b/>
                <w:bCs/>
                <w:color w:val="000000" w:themeColor="text1"/>
                <w:kern w:val="2"/>
                <w:sz w:val="21"/>
                <w:szCs w:val="21"/>
                <w:lang w:val="en-US" w:eastAsia="zh-CN" w:bidi="ar-SA"/>
                <w14:textFill>
                  <w14:solidFill>
                    <w14:schemeClr w14:val="tx1"/>
                  </w14:solidFill>
                </w14:textFill>
              </w:rPr>
              <w:t>提供有效证明文件或者截图进行证明并加盖供应商公章。</w:t>
            </w:r>
          </w:p>
          <w:p w14:paraId="6EC81172">
            <w:pPr>
              <w:pStyle w:val="9"/>
              <w:keepNext w:val="0"/>
              <w:keepLines w:val="0"/>
              <w:pageBreakBefore w:val="0"/>
              <w:widowControl w:val="0"/>
              <w:numPr>
                <w:ilvl w:val="0"/>
                <w:numId w:val="4"/>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支持提供公网云存储，可通过账号登录；支持外链分享、支持文档漫游，支持历史版本、全文检索等功能；支持文档实时跟踪与备份恢复；支持提供后台管理功能，文档统一把控。</w:t>
            </w:r>
          </w:p>
          <w:p w14:paraId="0945E607">
            <w:pPr>
              <w:pStyle w:val="9"/>
              <w:keepNext w:val="0"/>
              <w:keepLines w:val="0"/>
              <w:pageBreakBefore w:val="0"/>
              <w:widowControl w:val="0"/>
              <w:numPr>
                <w:ilvl w:val="0"/>
                <w:numId w:val="4"/>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bCs/>
                <w:sz w:val="21"/>
                <w:szCs w:val="21"/>
                <w:highlight w:val="none"/>
              </w:rPr>
            </w:pPr>
            <w:r>
              <w:rPr>
                <w:rFonts w:hint="eastAsia" w:ascii="仿宋" w:hAnsi="仿宋" w:eastAsia="仿宋" w:cs="仿宋"/>
                <w:sz w:val="21"/>
                <w:szCs w:val="21"/>
                <w:highlight w:val="none"/>
              </w:rPr>
              <w:t>支持在线文档应用：在内容创建过程中，支持@引用云文档、联系人、时间等信息，支持插入表格、电子表格、思维导图、流程图、分割线、超链接等素材，支持引入地图、视频、音乐平台链接地址，以富文本形式显示。</w:t>
            </w:r>
          </w:p>
        </w:tc>
      </w:tr>
      <w:tr w14:paraId="62E57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4" w:hRule="atLeast"/>
          <w:jc w:val="center"/>
        </w:trPr>
        <w:tc>
          <w:tcPr>
            <w:tcW w:w="532" w:type="pct"/>
            <w:vMerge w:val="continue"/>
            <w:vAlign w:val="center"/>
          </w:tcPr>
          <w:p w14:paraId="4CA741C8">
            <w:pPr>
              <w:autoSpaceDE w:val="0"/>
              <w:autoSpaceDN w:val="0"/>
              <w:spacing w:line="360" w:lineRule="atLeast"/>
              <w:jc w:val="center"/>
              <w:rPr>
                <w:rFonts w:hint="eastAsia" w:ascii="仿宋" w:hAnsi="仿宋" w:eastAsia="仿宋" w:cs="仿宋"/>
                <w:sz w:val="21"/>
                <w:szCs w:val="21"/>
                <w:highlight w:val="none"/>
              </w:rPr>
            </w:pPr>
          </w:p>
        </w:tc>
        <w:tc>
          <w:tcPr>
            <w:tcW w:w="628" w:type="pct"/>
            <w:tcBorders>
              <w:top w:val="single" w:color="auto" w:sz="4" w:space="0"/>
              <w:left w:val="single" w:color="auto" w:sz="4" w:space="0"/>
              <w:right w:val="single" w:color="auto" w:sz="4" w:space="0"/>
            </w:tcBorders>
            <w:vAlign w:val="center"/>
          </w:tcPr>
          <w:p w14:paraId="3D7762CA">
            <w:pPr>
              <w:autoSpaceDE w:val="0"/>
              <w:autoSpaceDN w:val="0"/>
              <w:spacing w:line="360" w:lineRule="atLeast"/>
              <w:jc w:val="center"/>
              <w:rPr>
                <w:rFonts w:hint="eastAsia" w:ascii="仿宋" w:hAnsi="仿宋" w:eastAsia="仿宋" w:cs="仿宋"/>
                <w:bCs/>
                <w:sz w:val="21"/>
                <w:szCs w:val="21"/>
                <w:highlight w:val="none"/>
              </w:rPr>
            </w:pPr>
            <w:r>
              <w:rPr>
                <w:rFonts w:hint="eastAsia" w:ascii="仿宋" w:hAnsi="仿宋" w:eastAsia="仿宋" w:cs="仿宋"/>
                <w:b/>
                <w:sz w:val="21"/>
                <w:szCs w:val="21"/>
                <w:highlight w:val="none"/>
              </w:rPr>
              <w:t>功能应用指标</w:t>
            </w:r>
          </w:p>
        </w:tc>
        <w:tc>
          <w:tcPr>
            <w:tcW w:w="3839" w:type="pct"/>
            <w:tcBorders>
              <w:left w:val="single" w:color="auto" w:sz="4" w:space="0"/>
            </w:tcBorders>
          </w:tcPr>
          <w:p w14:paraId="1886B23C">
            <w:pPr>
              <w:pStyle w:val="9"/>
              <w:keepNext w:val="0"/>
              <w:keepLines w:val="0"/>
              <w:pageBreakBefore w:val="0"/>
              <w:widowControl w:val="0"/>
              <w:numPr>
                <w:ilvl w:val="0"/>
                <w:numId w:val="5"/>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b w:val="0"/>
                <w:bCs/>
                <w:color w:val="auto"/>
                <w:sz w:val="21"/>
                <w:szCs w:val="21"/>
              </w:rPr>
              <w:t>▲</w:t>
            </w:r>
            <w:r>
              <w:rPr>
                <w:rFonts w:hint="eastAsia" w:ascii="仿宋" w:hAnsi="仿宋" w:eastAsia="仿宋" w:cs="仿宋"/>
                <w:sz w:val="21"/>
                <w:szCs w:val="21"/>
                <w:highlight w:val="none"/>
              </w:rPr>
              <w:t>支持PDF版式文件格式互转功能，可与Word、Excel、PPT格式文档相互转换。</w:t>
            </w:r>
            <w:r>
              <w:rPr>
                <w:rFonts w:hint="eastAsia" w:ascii="仿宋" w:hAnsi="仿宋" w:eastAsia="仿宋" w:cs="仿宋"/>
                <w:b/>
                <w:bCs/>
                <w:color w:val="000000" w:themeColor="text1"/>
                <w:kern w:val="2"/>
                <w:sz w:val="21"/>
                <w:szCs w:val="21"/>
                <w:lang w:val="en-US" w:eastAsia="zh-CN" w:bidi="ar-SA"/>
                <w14:textFill>
                  <w14:solidFill>
                    <w14:schemeClr w14:val="tx1"/>
                  </w14:solidFill>
                </w14:textFill>
              </w:rPr>
              <w:t>提供有效证明文件或者截图进行证明并加盖供应商公章。</w:t>
            </w:r>
          </w:p>
          <w:p w14:paraId="05E93168">
            <w:pPr>
              <w:pStyle w:val="9"/>
              <w:keepNext w:val="0"/>
              <w:keepLines w:val="0"/>
              <w:pageBreakBefore w:val="0"/>
              <w:widowControl w:val="0"/>
              <w:numPr>
                <w:ilvl w:val="0"/>
                <w:numId w:val="5"/>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支持PDF编辑、压缩、拆分、合并、水印的能力。</w:t>
            </w:r>
          </w:p>
          <w:p w14:paraId="17D5219F">
            <w:pPr>
              <w:pStyle w:val="9"/>
              <w:keepNext w:val="0"/>
              <w:keepLines w:val="0"/>
              <w:pageBreakBefore w:val="0"/>
              <w:widowControl w:val="0"/>
              <w:numPr>
                <w:ilvl w:val="0"/>
                <w:numId w:val="5"/>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支持表格的智能排版、高级筛选、数据对比的能力。</w:t>
            </w:r>
          </w:p>
          <w:p w14:paraId="175F0FC8">
            <w:pPr>
              <w:pStyle w:val="9"/>
              <w:keepNext w:val="0"/>
              <w:keepLines w:val="0"/>
              <w:pageBreakBefore w:val="0"/>
              <w:widowControl w:val="0"/>
              <w:numPr>
                <w:ilvl w:val="0"/>
                <w:numId w:val="5"/>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支持图片转txt、图片转表格、图片转文字的能力。</w:t>
            </w:r>
          </w:p>
          <w:p w14:paraId="0796A307">
            <w:pPr>
              <w:pStyle w:val="9"/>
              <w:keepNext w:val="0"/>
              <w:keepLines w:val="0"/>
              <w:pageBreakBefore w:val="0"/>
              <w:widowControl w:val="0"/>
              <w:numPr>
                <w:ilvl w:val="0"/>
                <w:numId w:val="5"/>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支持实时通讯能力，支持一对一单聊会话和创建群聊会话；会话支持设置消息免打扰、聊天列表置顶等功能。</w:t>
            </w:r>
          </w:p>
          <w:p w14:paraId="5C8A4E05">
            <w:pPr>
              <w:pStyle w:val="9"/>
              <w:keepNext w:val="0"/>
              <w:keepLines w:val="0"/>
              <w:pageBreakBefore w:val="0"/>
              <w:widowControl w:val="0"/>
              <w:numPr>
                <w:ilvl w:val="0"/>
                <w:numId w:val="5"/>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提供可以共享协作的日历服务，可以将日历分享给其他人，其他人可以根据分享者配置的编辑、查看、仅查看忙闲权限，对于分享者的日历进行管理和查看。日程可以分享到聊天，选择参与人。</w:t>
            </w:r>
          </w:p>
          <w:p w14:paraId="3ADF7C78">
            <w:pPr>
              <w:pStyle w:val="9"/>
              <w:keepNext w:val="0"/>
              <w:keepLines w:val="0"/>
              <w:pageBreakBefore w:val="0"/>
              <w:widowControl w:val="0"/>
              <w:numPr>
                <w:ilvl w:val="0"/>
                <w:numId w:val="5"/>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支持会议功能，可基于文档发起会议功能，并邀请其他成员参与；支持单独创建会议，通过会议ID或者链接可进行在线会议，可提供云文档共享、屏幕共享多种内容共享方式。</w:t>
            </w:r>
          </w:p>
          <w:p w14:paraId="6E43B726">
            <w:pPr>
              <w:pStyle w:val="9"/>
              <w:keepNext w:val="0"/>
              <w:keepLines w:val="0"/>
              <w:pageBreakBefore w:val="0"/>
              <w:widowControl w:val="0"/>
              <w:numPr>
                <w:ilvl w:val="0"/>
                <w:numId w:val="5"/>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bCs/>
                <w:sz w:val="21"/>
                <w:szCs w:val="21"/>
                <w:highlight w:val="none"/>
              </w:rPr>
            </w:pPr>
            <w:r>
              <w:rPr>
                <w:rFonts w:hint="eastAsia" w:ascii="仿宋" w:hAnsi="仿宋" w:eastAsia="仿宋" w:cs="仿宋"/>
                <w:sz w:val="21"/>
                <w:szCs w:val="21"/>
                <w:highlight w:val="none"/>
              </w:rPr>
              <w:t>支持表单功能，可创建基础表单、考试、打卡、接龙等多种常用信息采集表，提供多种常用模板，并且支持链接、二维码、海报、微信、QQ等方式进行邀请填写，后台自动生成Excel表格和填报情况汇总。</w:t>
            </w:r>
          </w:p>
        </w:tc>
      </w:tr>
      <w:tr w14:paraId="4A269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32" w:type="pct"/>
            <w:vMerge w:val="continue"/>
            <w:vAlign w:val="center"/>
          </w:tcPr>
          <w:p w14:paraId="405F6AFB">
            <w:pPr>
              <w:autoSpaceDE w:val="0"/>
              <w:autoSpaceDN w:val="0"/>
              <w:spacing w:line="360" w:lineRule="atLeast"/>
              <w:jc w:val="center"/>
              <w:rPr>
                <w:rFonts w:hint="eastAsia" w:ascii="仿宋" w:hAnsi="仿宋" w:eastAsia="仿宋" w:cs="仿宋"/>
                <w:bCs/>
                <w:sz w:val="21"/>
                <w:szCs w:val="21"/>
                <w:highlight w:val="none"/>
              </w:rPr>
            </w:pPr>
          </w:p>
        </w:tc>
        <w:tc>
          <w:tcPr>
            <w:tcW w:w="628" w:type="pct"/>
            <w:tcBorders>
              <w:top w:val="single" w:color="auto" w:sz="4" w:space="0"/>
              <w:left w:val="single" w:color="auto" w:sz="4" w:space="0"/>
              <w:right w:val="single" w:color="auto" w:sz="4" w:space="0"/>
            </w:tcBorders>
            <w:vAlign w:val="center"/>
          </w:tcPr>
          <w:p w14:paraId="2DF8DBFE">
            <w:pPr>
              <w:widowControl/>
              <w:spacing w:line="360" w:lineRule="auto"/>
              <w:jc w:val="left"/>
              <w:textAlignment w:val="center"/>
              <w:rPr>
                <w:rFonts w:hint="eastAsia" w:ascii="仿宋" w:hAnsi="仿宋" w:eastAsia="仿宋" w:cs="仿宋"/>
                <w:b/>
                <w:bCs/>
                <w:sz w:val="21"/>
                <w:szCs w:val="21"/>
                <w:highlight w:val="none"/>
              </w:rPr>
            </w:pPr>
            <w:r>
              <w:rPr>
                <w:rFonts w:hint="eastAsia" w:ascii="仿宋" w:hAnsi="仿宋" w:eastAsia="仿宋" w:cs="仿宋"/>
                <w:b/>
                <w:bCs/>
                <w:sz w:val="21"/>
                <w:szCs w:val="21"/>
                <w:highlight w:val="none"/>
              </w:rPr>
              <w:t>后台管理指标</w:t>
            </w:r>
          </w:p>
          <w:p w14:paraId="323695C4">
            <w:pPr>
              <w:autoSpaceDE w:val="0"/>
              <w:autoSpaceDN w:val="0"/>
              <w:spacing w:line="360" w:lineRule="atLeast"/>
              <w:jc w:val="center"/>
              <w:rPr>
                <w:rFonts w:hint="eastAsia" w:ascii="仿宋" w:hAnsi="仿宋" w:eastAsia="仿宋" w:cs="仿宋"/>
                <w:bCs/>
                <w:sz w:val="21"/>
                <w:szCs w:val="21"/>
                <w:highlight w:val="none"/>
                <w:lang w:eastAsia="en-US"/>
              </w:rPr>
            </w:pPr>
          </w:p>
        </w:tc>
        <w:tc>
          <w:tcPr>
            <w:tcW w:w="3839" w:type="pct"/>
            <w:tcBorders>
              <w:left w:val="single" w:color="auto" w:sz="4" w:space="0"/>
            </w:tcBorders>
          </w:tcPr>
          <w:p w14:paraId="5853AA47">
            <w:pPr>
              <w:pStyle w:val="9"/>
              <w:keepNext w:val="0"/>
              <w:keepLines w:val="0"/>
              <w:pageBreakBefore w:val="0"/>
              <w:widowControl w:val="0"/>
              <w:numPr>
                <w:ilvl w:val="0"/>
                <w:numId w:val="6"/>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提供文档安全管理能力，支持团队文档水印、团队文档加密保护、团队文档分享范围管控的能力；</w:t>
            </w:r>
          </w:p>
          <w:p w14:paraId="135D3026">
            <w:pPr>
              <w:pStyle w:val="9"/>
              <w:keepNext w:val="0"/>
              <w:keepLines w:val="0"/>
              <w:pageBreakBefore w:val="0"/>
              <w:widowControl w:val="0"/>
              <w:numPr>
                <w:ilvl w:val="0"/>
                <w:numId w:val="6"/>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b/>
                <w:bCs/>
                <w:sz w:val="21"/>
                <w:szCs w:val="21"/>
                <w:highlight w:val="none"/>
              </w:rPr>
            </w:pPr>
            <w:r>
              <w:rPr>
                <w:rFonts w:hint="eastAsia" w:ascii="仿宋" w:hAnsi="仿宋" w:eastAsia="仿宋" w:cs="仿宋"/>
                <w:b w:val="0"/>
                <w:bCs/>
                <w:color w:val="auto"/>
                <w:sz w:val="21"/>
                <w:szCs w:val="21"/>
              </w:rPr>
              <w:t>▲</w:t>
            </w:r>
            <w:r>
              <w:rPr>
                <w:rFonts w:hint="eastAsia" w:ascii="仿宋" w:hAnsi="仿宋" w:eastAsia="仿宋" w:cs="仿宋"/>
                <w:sz w:val="21"/>
                <w:szCs w:val="21"/>
                <w:highlight w:val="none"/>
              </w:rPr>
              <w:t>角色管理：根据不同的管理能力，创建不同角色，如日志管理员、组织架构管理员等情况，完成分权管理。</w:t>
            </w:r>
            <w:r>
              <w:rPr>
                <w:rFonts w:hint="eastAsia" w:ascii="仿宋" w:hAnsi="仿宋" w:eastAsia="仿宋" w:cs="仿宋"/>
                <w:b/>
                <w:bCs/>
                <w:color w:val="000000" w:themeColor="text1"/>
                <w:kern w:val="2"/>
                <w:sz w:val="21"/>
                <w:szCs w:val="21"/>
                <w:lang w:val="en-US" w:eastAsia="zh-CN" w:bidi="ar-SA"/>
                <w14:textFill>
                  <w14:solidFill>
                    <w14:schemeClr w14:val="tx1"/>
                  </w14:solidFill>
                </w14:textFill>
              </w:rPr>
              <w:t>提供有效证明文件或者截图进行证明并加盖供应商公章。</w:t>
            </w:r>
          </w:p>
          <w:p w14:paraId="41DBE08B">
            <w:pPr>
              <w:pStyle w:val="9"/>
              <w:keepNext w:val="0"/>
              <w:keepLines w:val="0"/>
              <w:pageBreakBefore w:val="0"/>
              <w:widowControl w:val="0"/>
              <w:numPr>
                <w:ilvl w:val="0"/>
                <w:numId w:val="6"/>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b w:val="0"/>
                <w:bCs/>
                <w:color w:val="auto"/>
                <w:sz w:val="21"/>
                <w:szCs w:val="21"/>
              </w:rPr>
              <w:t>▲</w:t>
            </w:r>
            <w:r>
              <w:rPr>
                <w:rFonts w:hint="eastAsia" w:ascii="仿宋" w:hAnsi="仿宋" w:eastAsia="仿宋" w:cs="仿宋"/>
                <w:sz w:val="21"/>
                <w:szCs w:val="21"/>
                <w:highlight w:val="none"/>
              </w:rPr>
              <w:t>日志管理：支持对文档操作、团队操作、后台操作和登录操作进行日志记录，并支持日志导出。</w:t>
            </w:r>
            <w:r>
              <w:rPr>
                <w:rFonts w:hint="eastAsia" w:ascii="仿宋" w:hAnsi="仿宋" w:eastAsia="仿宋" w:cs="仿宋"/>
                <w:b/>
                <w:bCs/>
                <w:color w:val="000000" w:themeColor="text1"/>
                <w:kern w:val="2"/>
                <w:sz w:val="21"/>
                <w:szCs w:val="21"/>
                <w:lang w:val="en-US" w:eastAsia="zh-CN" w:bidi="ar-SA"/>
                <w14:textFill>
                  <w14:solidFill>
                    <w14:schemeClr w14:val="tx1"/>
                  </w14:solidFill>
                </w14:textFill>
              </w:rPr>
              <w:t>提供有效证明文件或者截图进行证明并加盖供应商公章。</w:t>
            </w:r>
          </w:p>
          <w:p w14:paraId="335589B2">
            <w:pPr>
              <w:pStyle w:val="9"/>
              <w:keepNext w:val="0"/>
              <w:keepLines w:val="0"/>
              <w:pageBreakBefore w:val="0"/>
              <w:widowControl w:val="0"/>
              <w:numPr>
                <w:ilvl w:val="0"/>
                <w:numId w:val="6"/>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支持通讯录可见性自定义设置，有效保障组织架构信息不被任意查看。</w:t>
            </w:r>
          </w:p>
          <w:p w14:paraId="25249CFC">
            <w:pPr>
              <w:pStyle w:val="9"/>
              <w:keepNext w:val="0"/>
              <w:keepLines w:val="0"/>
              <w:pageBreakBefore w:val="0"/>
              <w:widowControl w:val="0"/>
              <w:numPr>
                <w:ilvl w:val="0"/>
                <w:numId w:val="6"/>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具备安全管控功能，支持团队文档水印，团队文档分享范围管控，文档流转安全管控（禁止分享到企业/团队外）。</w:t>
            </w:r>
          </w:p>
          <w:p w14:paraId="071E510E">
            <w:pPr>
              <w:keepNext w:val="0"/>
              <w:keepLines w:val="0"/>
              <w:pageBreakBefore w:val="0"/>
              <w:widowControl w:val="0"/>
              <w:numPr>
                <w:ilvl w:val="0"/>
                <w:numId w:val="6"/>
              </w:numPr>
              <w:kinsoku/>
              <w:wordWrap/>
              <w:overflowPunct/>
              <w:topLinePunct w:val="0"/>
              <w:bidi w:val="0"/>
              <w:adjustRightInd/>
              <w:snapToGrid/>
              <w:spacing w:line="360" w:lineRule="exact"/>
              <w:ind w:left="635" w:hanging="425"/>
              <w:textAlignment w:val="auto"/>
              <w:rPr>
                <w:rFonts w:hint="eastAsia" w:ascii="仿宋" w:hAnsi="仿宋" w:eastAsia="仿宋" w:cs="仿宋"/>
                <w:bCs/>
                <w:sz w:val="21"/>
                <w:szCs w:val="21"/>
                <w:highlight w:val="none"/>
              </w:rPr>
            </w:pPr>
            <w:r>
              <w:rPr>
                <w:rFonts w:hint="eastAsia" w:ascii="仿宋" w:hAnsi="仿宋" w:eastAsia="仿宋" w:cs="仿宋"/>
                <w:sz w:val="21"/>
                <w:szCs w:val="21"/>
                <w:highlight w:val="none"/>
              </w:rPr>
              <w:t>支持IP访问限制，可实现内网禁止个人账号登录，外网访问企业文档受权限限制，形成数据安全屏障。</w:t>
            </w:r>
          </w:p>
        </w:tc>
      </w:tr>
      <w:tr w14:paraId="4EA3B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9" w:hRule="atLeast"/>
          <w:jc w:val="center"/>
        </w:trPr>
        <w:tc>
          <w:tcPr>
            <w:tcW w:w="532" w:type="pct"/>
            <w:vAlign w:val="center"/>
          </w:tcPr>
          <w:p w14:paraId="2941E53C">
            <w:pPr>
              <w:jc w:val="left"/>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lang w:val="en-US" w:eastAsia="zh-CN"/>
              </w:rPr>
              <w:t>WPS 365 教育协作版</w:t>
            </w:r>
            <w:r>
              <w:rPr>
                <w:rFonts w:hint="eastAsia" w:ascii="仿宋" w:hAnsi="仿宋" w:eastAsia="仿宋" w:cs="仿宋"/>
                <w:color w:val="000000"/>
                <w:sz w:val="21"/>
                <w:szCs w:val="21"/>
                <w:highlight w:val="none"/>
              </w:rPr>
              <w:t>（</w:t>
            </w:r>
            <w:r>
              <w:rPr>
                <w:rFonts w:hint="eastAsia" w:ascii="仿宋" w:hAnsi="仿宋" w:eastAsia="仿宋" w:cs="仿宋"/>
                <w:color w:val="000000"/>
                <w:sz w:val="21"/>
                <w:szCs w:val="21"/>
                <w:highlight w:val="none"/>
                <w:lang w:val="en-US" w:eastAsia="zh-CN"/>
              </w:rPr>
              <w:t>不少于17000个账号</w:t>
            </w:r>
            <w:r>
              <w:rPr>
                <w:rFonts w:hint="eastAsia" w:ascii="仿宋" w:hAnsi="仿宋" w:eastAsia="仿宋" w:cs="仿宋"/>
                <w:color w:val="000000"/>
                <w:sz w:val="21"/>
                <w:szCs w:val="21"/>
                <w:highlight w:val="none"/>
              </w:rPr>
              <w:t>）</w:t>
            </w:r>
          </w:p>
          <w:p w14:paraId="2057B658">
            <w:pPr>
              <w:pStyle w:val="14"/>
              <w:spacing w:line="360" w:lineRule="atLeast"/>
              <w:rPr>
                <w:rFonts w:hint="eastAsia" w:ascii="仿宋" w:hAnsi="仿宋" w:eastAsia="仿宋" w:cs="仿宋"/>
                <w:sz w:val="21"/>
                <w:szCs w:val="21"/>
                <w:highlight w:val="none"/>
                <w:lang w:eastAsia="zh-CN"/>
              </w:rPr>
            </w:pPr>
          </w:p>
        </w:tc>
        <w:tc>
          <w:tcPr>
            <w:tcW w:w="628" w:type="pct"/>
            <w:tcBorders>
              <w:left w:val="single" w:color="auto" w:sz="4" w:space="0"/>
              <w:right w:val="single" w:color="auto" w:sz="4" w:space="0"/>
            </w:tcBorders>
            <w:vAlign w:val="center"/>
          </w:tcPr>
          <w:p w14:paraId="7B8BEABC">
            <w:pPr>
              <w:pStyle w:val="14"/>
              <w:spacing w:line="360" w:lineRule="atLeast"/>
              <w:jc w:val="both"/>
              <w:rPr>
                <w:rFonts w:hint="eastAsia" w:ascii="仿宋" w:hAnsi="仿宋" w:eastAsia="仿宋" w:cs="仿宋"/>
                <w:sz w:val="21"/>
                <w:szCs w:val="21"/>
                <w:highlight w:val="none"/>
              </w:rPr>
            </w:pPr>
            <w:r>
              <w:rPr>
                <w:rFonts w:hint="eastAsia" w:ascii="仿宋" w:hAnsi="仿宋" w:eastAsia="仿宋" w:cs="仿宋"/>
                <w:b/>
                <w:sz w:val="21"/>
                <w:szCs w:val="21"/>
                <w:highlight w:val="none"/>
              </w:rPr>
              <w:t>功能要求</w:t>
            </w:r>
          </w:p>
        </w:tc>
        <w:tc>
          <w:tcPr>
            <w:tcW w:w="3839" w:type="pct"/>
            <w:tcBorders>
              <w:left w:val="single" w:color="auto" w:sz="4" w:space="0"/>
            </w:tcBorders>
          </w:tcPr>
          <w:p w14:paraId="4C608FB9">
            <w:pPr>
              <w:pStyle w:val="9"/>
              <w:keepNext w:val="0"/>
              <w:keepLines w:val="0"/>
              <w:pageBreakBefore w:val="0"/>
              <w:widowControl w:val="0"/>
              <w:numPr>
                <w:ilvl w:val="0"/>
                <w:numId w:val="7"/>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▲云文档提供每用户不少于10G云存储空间，学校空间总空间10G*用户数，支持学校空间自定义分配。</w:t>
            </w:r>
            <w:r>
              <w:rPr>
                <w:rFonts w:hint="eastAsia" w:ascii="仿宋" w:hAnsi="仿宋" w:eastAsia="仿宋" w:cs="仿宋"/>
                <w:b/>
                <w:bCs/>
                <w:sz w:val="21"/>
                <w:szCs w:val="21"/>
                <w:highlight w:val="none"/>
                <w:lang w:val="en-US" w:eastAsia="zh-CN"/>
              </w:rPr>
              <w:t>提供有效证明文件或者截图进行证明并加盖供应商公章。</w:t>
            </w:r>
          </w:p>
          <w:p w14:paraId="5909D96F">
            <w:pPr>
              <w:pStyle w:val="9"/>
              <w:keepNext w:val="0"/>
              <w:keepLines w:val="0"/>
              <w:pageBreakBefore w:val="0"/>
              <w:widowControl w:val="0"/>
              <w:numPr>
                <w:ilvl w:val="0"/>
                <w:numId w:val="7"/>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支持多人协作编辑的功能，支持多人同时在线对同一文档进行实时编辑，编辑结果实时呈现。</w:t>
            </w:r>
          </w:p>
          <w:p w14:paraId="222573BC">
            <w:pPr>
              <w:pStyle w:val="9"/>
              <w:keepNext w:val="0"/>
              <w:keepLines w:val="0"/>
              <w:pageBreakBefore w:val="0"/>
              <w:widowControl w:val="0"/>
              <w:numPr>
                <w:ilvl w:val="0"/>
                <w:numId w:val="7"/>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支持学生上传文件功能。</w:t>
            </w:r>
          </w:p>
          <w:p w14:paraId="70940479">
            <w:pPr>
              <w:pStyle w:val="9"/>
              <w:keepNext w:val="0"/>
              <w:keepLines w:val="0"/>
              <w:pageBreakBefore w:val="0"/>
              <w:widowControl w:val="0"/>
              <w:numPr>
                <w:ilvl w:val="0"/>
                <w:numId w:val="7"/>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支持对团队文档添加安全水印的功能，如遇到外泄可以进行源头追溯。</w:t>
            </w:r>
          </w:p>
          <w:p w14:paraId="244343D6">
            <w:pPr>
              <w:pStyle w:val="9"/>
              <w:keepNext w:val="0"/>
              <w:keepLines w:val="0"/>
              <w:pageBreakBefore w:val="0"/>
              <w:widowControl w:val="0"/>
              <w:numPr>
                <w:ilvl w:val="0"/>
                <w:numId w:val="7"/>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支持组织内团队文件加密保护。</w:t>
            </w:r>
          </w:p>
          <w:p w14:paraId="1331F127">
            <w:pPr>
              <w:pStyle w:val="9"/>
              <w:keepNext w:val="0"/>
              <w:keepLines w:val="0"/>
              <w:pageBreakBefore w:val="0"/>
              <w:widowControl w:val="0"/>
              <w:numPr>
                <w:ilvl w:val="0"/>
                <w:numId w:val="7"/>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支持对团队文档进行流转管控，禁止移动团队组织外。</w:t>
            </w:r>
          </w:p>
          <w:p w14:paraId="5EE6239C">
            <w:pPr>
              <w:pStyle w:val="9"/>
              <w:keepNext w:val="0"/>
              <w:keepLines w:val="0"/>
              <w:pageBreakBefore w:val="0"/>
              <w:widowControl w:val="0"/>
              <w:numPr>
                <w:ilvl w:val="0"/>
                <w:numId w:val="7"/>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支持会议、表单、日历、待办等附加应用。</w:t>
            </w:r>
          </w:p>
          <w:p w14:paraId="2F12D3F7">
            <w:pPr>
              <w:pStyle w:val="9"/>
              <w:keepNext w:val="0"/>
              <w:keepLines w:val="0"/>
              <w:pageBreakBefore w:val="0"/>
              <w:widowControl w:val="0"/>
              <w:numPr>
                <w:ilvl w:val="0"/>
                <w:numId w:val="7"/>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当组织内有人员调动或者学生毕业，应支持通过管理员在后台对于离开的成员文档进行转让的功能。</w:t>
            </w:r>
          </w:p>
        </w:tc>
      </w:tr>
      <w:tr w14:paraId="4E3A1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32" w:type="pct"/>
            <w:shd w:val="clear" w:color="auto" w:fill="auto"/>
            <w:vAlign w:val="center"/>
          </w:tcPr>
          <w:p w14:paraId="157F88D6">
            <w:pPr>
              <w:jc w:val="left"/>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lang w:val="en-US" w:eastAsia="zh-CN"/>
              </w:rPr>
              <w:t>WPS 365 教育旗舰版</w:t>
            </w:r>
            <w:r>
              <w:rPr>
                <w:rFonts w:hint="eastAsia" w:ascii="仿宋" w:hAnsi="仿宋" w:eastAsia="仿宋" w:cs="仿宋"/>
                <w:color w:val="000000"/>
                <w:sz w:val="21"/>
                <w:szCs w:val="21"/>
                <w:highlight w:val="none"/>
              </w:rPr>
              <w:t>（</w:t>
            </w:r>
            <w:r>
              <w:rPr>
                <w:rFonts w:hint="eastAsia" w:ascii="仿宋" w:hAnsi="仿宋" w:eastAsia="仿宋" w:cs="仿宋"/>
                <w:color w:val="000000"/>
                <w:sz w:val="21"/>
                <w:szCs w:val="21"/>
                <w:highlight w:val="none"/>
                <w:lang w:val="en-US" w:eastAsia="zh-CN"/>
              </w:rPr>
              <w:t>不少于100个账号</w:t>
            </w:r>
            <w:r>
              <w:rPr>
                <w:rFonts w:hint="eastAsia" w:ascii="仿宋" w:hAnsi="仿宋" w:eastAsia="仿宋" w:cs="仿宋"/>
                <w:color w:val="000000"/>
                <w:sz w:val="21"/>
                <w:szCs w:val="21"/>
                <w:highlight w:val="none"/>
              </w:rPr>
              <w:t>）</w:t>
            </w:r>
          </w:p>
          <w:p w14:paraId="228E54DB">
            <w:pPr>
              <w:pStyle w:val="14"/>
              <w:spacing w:line="360" w:lineRule="atLeast"/>
              <w:rPr>
                <w:rFonts w:hint="eastAsia" w:ascii="仿宋" w:hAnsi="仿宋" w:eastAsia="仿宋" w:cs="仿宋"/>
                <w:kern w:val="0"/>
                <w:sz w:val="21"/>
                <w:szCs w:val="21"/>
                <w:highlight w:val="none"/>
                <w:lang w:val="en-US" w:eastAsia="zh-CN" w:bidi="ar-SA"/>
              </w:rPr>
            </w:pPr>
          </w:p>
        </w:tc>
        <w:tc>
          <w:tcPr>
            <w:tcW w:w="628" w:type="pct"/>
            <w:tcBorders>
              <w:left w:val="single" w:color="auto" w:sz="4" w:space="0"/>
              <w:right w:val="single" w:color="auto" w:sz="4" w:space="0"/>
            </w:tcBorders>
            <w:shd w:val="clear" w:color="auto" w:fill="auto"/>
            <w:vAlign w:val="center"/>
          </w:tcPr>
          <w:p w14:paraId="4A9CC422">
            <w:pPr>
              <w:pStyle w:val="14"/>
              <w:spacing w:line="360" w:lineRule="atLeast"/>
              <w:jc w:val="both"/>
              <w:rPr>
                <w:rFonts w:hint="eastAsia" w:ascii="仿宋" w:hAnsi="仿宋" w:eastAsia="仿宋" w:cs="仿宋"/>
                <w:kern w:val="0"/>
                <w:sz w:val="21"/>
                <w:szCs w:val="21"/>
                <w:highlight w:val="none"/>
                <w:lang w:val="en-US" w:eastAsia="en-US" w:bidi="ar-SA"/>
              </w:rPr>
            </w:pPr>
            <w:r>
              <w:rPr>
                <w:rFonts w:hint="eastAsia" w:ascii="仿宋" w:hAnsi="仿宋" w:eastAsia="仿宋" w:cs="仿宋"/>
                <w:b/>
                <w:sz w:val="21"/>
                <w:szCs w:val="21"/>
                <w:highlight w:val="none"/>
              </w:rPr>
              <w:t>功能要求</w:t>
            </w:r>
          </w:p>
        </w:tc>
        <w:tc>
          <w:tcPr>
            <w:tcW w:w="3839" w:type="pct"/>
            <w:tcBorders>
              <w:left w:val="single" w:color="auto" w:sz="4" w:space="0"/>
            </w:tcBorders>
            <w:shd w:val="clear" w:color="auto" w:fill="auto"/>
            <w:vAlign w:val="top"/>
          </w:tcPr>
          <w:p w14:paraId="297C0557">
            <w:pPr>
              <w:pStyle w:val="9"/>
              <w:keepNext w:val="0"/>
              <w:keepLines w:val="0"/>
              <w:pageBreakBefore w:val="0"/>
              <w:widowControl w:val="0"/>
              <w:numPr>
                <w:ilvl w:val="0"/>
                <w:numId w:val="8"/>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w:t>
            </w:r>
            <w:r>
              <w:rPr>
                <w:rFonts w:hint="eastAsia" w:ascii="仿宋" w:hAnsi="仿宋" w:eastAsia="仿宋" w:cs="仿宋"/>
                <w:sz w:val="21"/>
                <w:szCs w:val="21"/>
                <w:highlight w:val="none"/>
                <w:lang w:val="en-US" w:eastAsia="zh-CN"/>
              </w:rPr>
              <w:t>云文档空间具备不少于1TB/人的存储容量，还可以根据使用情况进行分配。</w:t>
            </w:r>
            <w:r>
              <w:rPr>
                <w:rFonts w:hint="eastAsia" w:ascii="仿宋" w:hAnsi="仿宋" w:eastAsia="仿宋" w:cs="仿宋"/>
                <w:b/>
                <w:bCs/>
                <w:sz w:val="21"/>
                <w:szCs w:val="21"/>
                <w:highlight w:val="none"/>
                <w:lang w:val="en-US" w:eastAsia="zh-CN"/>
              </w:rPr>
              <w:t>提供有效证明文件或者截图进行证明并加盖供应商公章。</w:t>
            </w:r>
          </w:p>
          <w:p w14:paraId="154B4164">
            <w:pPr>
              <w:pStyle w:val="9"/>
              <w:keepNext w:val="0"/>
              <w:keepLines w:val="0"/>
              <w:pageBreakBefore w:val="0"/>
              <w:widowControl w:val="0"/>
              <w:numPr>
                <w:ilvl w:val="0"/>
                <w:numId w:val="8"/>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需支持在使用Office的文字模块、表格模块、幻灯片模块中直接一键开启AI功能。支持包括但不限于：AI写作、AI阅读、AI分析、AI设计等能力。</w:t>
            </w:r>
          </w:p>
          <w:p w14:paraId="0ACBA6F3">
            <w:pPr>
              <w:pStyle w:val="9"/>
              <w:keepNext w:val="0"/>
              <w:keepLines w:val="0"/>
              <w:pageBreakBefore w:val="0"/>
              <w:widowControl w:val="0"/>
              <w:numPr>
                <w:ilvl w:val="0"/>
                <w:numId w:val="8"/>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支持在文字模块编辑文档时直接启用AI写作，支持提供模板类选集库，选集库中提供多种创作场景样例，包括但不限于：办公、行政、教学、法律、社交、策划、运营、面试、分析等。选集库中场景支持提供预设内容提示词，支持使用预设提示词直接创作内容，支持根据教师实际需求编辑修改提示词内容。</w:t>
            </w:r>
            <w:r>
              <w:rPr>
                <w:rFonts w:hint="eastAsia" w:ascii="仿宋" w:hAnsi="仿宋" w:eastAsia="仿宋" w:cs="仿宋"/>
                <w:b/>
                <w:bCs/>
                <w:sz w:val="21"/>
                <w:szCs w:val="21"/>
                <w:highlight w:val="none"/>
                <w:lang w:val="en-US" w:eastAsia="zh-CN"/>
              </w:rPr>
              <w:t>提供有效证明文件或者截图进行证明并加盖供应商公章。</w:t>
            </w:r>
          </w:p>
          <w:p w14:paraId="14149FAB">
            <w:pPr>
              <w:pStyle w:val="9"/>
              <w:keepNext w:val="0"/>
              <w:keepLines w:val="0"/>
              <w:pageBreakBefore w:val="0"/>
              <w:widowControl w:val="0"/>
              <w:numPr>
                <w:ilvl w:val="0"/>
                <w:numId w:val="8"/>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▲支持在文字模块对已经写好的文档进行更多创作，支持选中文档后对文档进行AI缩写、续写、扩写、重写和润色改写。其中润色改写时支持AI优化文档风格为口语化、学术化、党政化等。</w:t>
            </w:r>
            <w:r>
              <w:rPr>
                <w:rFonts w:hint="eastAsia" w:ascii="仿宋" w:hAnsi="仿宋" w:eastAsia="仿宋" w:cs="仿宋"/>
                <w:b/>
                <w:bCs/>
                <w:sz w:val="21"/>
                <w:szCs w:val="21"/>
                <w:highlight w:val="none"/>
                <w:lang w:val="en-US" w:eastAsia="zh-CN"/>
              </w:rPr>
              <w:t>提供有效证明文件或者截图进行证明并加盖供应商公章。</w:t>
            </w:r>
          </w:p>
          <w:p w14:paraId="159217AF">
            <w:pPr>
              <w:pStyle w:val="9"/>
              <w:keepNext w:val="0"/>
              <w:keepLines w:val="0"/>
              <w:pageBreakBefore w:val="0"/>
              <w:widowControl w:val="0"/>
              <w:numPr>
                <w:ilvl w:val="0"/>
                <w:numId w:val="8"/>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支持使用表格模块进行表格计算处理时启用AI分析，支持通过文字指令AI编写公式、AI条件格式处理、AI阅读表格数据等。</w:t>
            </w:r>
          </w:p>
          <w:p w14:paraId="223D8455">
            <w:pPr>
              <w:pStyle w:val="9"/>
              <w:keepNext w:val="0"/>
              <w:keepLines w:val="0"/>
              <w:pageBreakBefore w:val="0"/>
              <w:widowControl w:val="0"/>
              <w:numPr>
                <w:ilvl w:val="0"/>
                <w:numId w:val="8"/>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支持制作幻灯片时启用AI设计，支持根据提示语生成PPT,支持导入文字文档、思维导图等生成PPT,支持粘贴大纲生成PPT。</w:t>
            </w:r>
          </w:p>
          <w:p w14:paraId="748F90B4">
            <w:pPr>
              <w:pStyle w:val="9"/>
              <w:keepNext w:val="0"/>
              <w:keepLines w:val="0"/>
              <w:pageBreakBefore w:val="0"/>
              <w:widowControl w:val="0"/>
              <w:numPr>
                <w:ilvl w:val="0"/>
                <w:numId w:val="8"/>
              </w:numPr>
              <w:kinsoku/>
              <w:wordWrap/>
              <w:overflowPunct/>
              <w:topLinePunct w:val="0"/>
              <w:bidi w:val="0"/>
              <w:adjustRightInd/>
              <w:snapToGrid/>
              <w:spacing w:line="360" w:lineRule="exact"/>
              <w:ind w:left="635" w:hanging="425" w:firstLineChars="0"/>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rPr>
              <w:t>▲支持编辑文字文档时启用AI设计，一键完成文档格式整理和排版。支持格式排版分类包括但不限于：学位论文、合同协议、党政公文、招标文书等。使用学位论文排版时，可以直接输入学校名称，即可按需选择使用。</w:t>
            </w:r>
            <w:r>
              <w:rPr>
                <w:rFonts w:hint="eastAsia" w:ascii="仿宋" w:hAnsi="仿宋" w:eastAsia="仿宋" w:cs="仿宋"/>
                <w:b/>
                <w:bCs/>
                <w:sz w:val="21"/>
                <w:szCs w:val="21"/>
                <w:highlight w:val="none"/>
                <w:lang w:val="en-US" w:eastAsia="zh-CN"/>
              </w:rPr>
              <w:t>提供有效证明文件或者截图进行证明并加盖供应商公章。</w:t>
            </w:r>
          </w:p>
        </w:tc>
      </w:tr>
      <w:tr w14:paraId="4D336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restart"/>
            <w:shd w:val="clear" w:color="auto" w:fill="auto"/>
            <w:vAlign w:val="center"/>
          </w:tcPr>
          <w:p w14:paraId="08E7E592">
            <w:pPr>
              <w:numPr>
                <w:ilvl w:val="0"/>
                <w:numId w:val="0"/>
              </w:numPr>
              <w:ind w:left="0" w:leftChars="0" w:firstLine="0" w:firstLineChars="0"/>
              <w:jc w:val="both"/>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lang w:val="en-US" w:eastAsia="zh-CN"/>
                <w14:textFill>
                  <w14:solidFill>
                    <w14:schemeClr w14:val="tx1"/>
                  </w14:solidFill>
                </w14:textFill>
              </w:rPr>
              <w:t>软件资源管理服务</w:t>
            </w:r>
          </w:p>
        </w:tc>
        <w:tc>
          <w:tcPr>
            <w:tcW w:w="628" w:type="pct"/>
            <w:vMerge w:val="restart"/>
            <w:tcBorders>
              <w:left w:val="single" w:color="auto" w:sz="4" w:space="0"/>
              <w:right w:val="single" w:color="auto" w:sz="4" w:space="0"/>
            </w:tcBorders>
            <w:shd w:val="clear" w:color="auto" w:fill="auto"/>
            <w:vAlign w:val="center"/>
          </w:tcPr>
          <w:p w14:paraId="2CC577C6">
            <w:pPr>
              <w:jc w:val="cente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技术</w:t>
            </w:r>
            <w:r>
              <w:rPr>
                <w:rFonts w:hint="eastAsia" w:ascii="仿宋" w:hAnsi="仿宋" w:eastAsia="仿宋" w:cs="仿宋"/>
                <w:color w:val="000000" w:themeColor="text1"/>
                <w:sz w:val="21"/>
                <w:szCs w:val="21"/>
                <w:highlight w:val="none"/>
                <w:lang w:eastAsia="zh-CN"/>
                <w14:textFill>
                  <w14:solidFill>
                    <w14:schemeClr w14:val="tx1"/>
                  </w14:solidFill>
                </w14:textFill>
              </w:rPr>
              <w:t>要求</w:t>
            </w:r>
          </w:p>
        </w:tc>
        <w:tc>
          <w:tcPr>
            <w:tcW w:w="3839" w:type="pct"/>
            <w:tcBorders>
              <w:left w:val="single" w:color="auto" w:sz="4" w:space="0"/>
            </w:tcBorders>
            <w:shd w:val="clear" w:color="auto" w:fill="auto"/>
            <w:vAlign w:val="center"/>
          </w:tcPr>
          <w:p w14:paraId="1089C84A">
            <w:pP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b/>
                <w:bCs/>
                <w:color w:val="000000" w:themeColor="text1"/>
                <w:sz w:val="21"/>
                <w:szCs w:val="21"/>
                <w:highlight w:val="none"/>
                <w14:textFill>
                  <w14:solidFill>
                    <w14:schemeClr w14:val="tx1"/>
                  </w14:solidFill>
                </w14:textFill>
              </w:rPr>
              <w:t>基本要求：</w:t>
            </w:r>
            <w:r>
              <w:rPr>
                <w:rFonts w:hint="eastAsia" w:ascii="仿宋" w:hAnsi="仿宋" w:eastAsia="仿宋" w:cs="仿宋"/>
                <w:color w:val="000000" w:themeColor="text1"/>
                <w:sz w:val="21"/>
                <w:szCs w:val="21"/>
                <w:highlight w:val="none"/>
                <w14:textFill>
                  <w14:solidFill>
                    <w14:schemeClr w14:val="tx1"/>
                  </w14:solidFill>
                </w14:textFill>
              </w:rPr>
              <w:t>部署支持Windows、Linux、Unix等常见操作系统；支持各种常见数据库；软件管理与服务平台应当支持部署在</w:t>
            </w:r>
            <w:r>
              <w:rPr>
                <w:rFonts w:hint="eastAsia" w:ascii="仿宋" w:hAnsi="仿宋" w:eastAsia="仿宋" w:cs="仿宋"/>
                <w:color w:val="000000" w:themeColor="text1"/>
                <w:sz w:val="21"/>
                <w:szCs w:val="21"/>
                <w:highlight w:val="none"/>
                <w:lang w:eastAsia="zh-CN"/>
                <w14:textFill>
                  <w14:solidFill>
                    <w14:schemeClr w14:val="tx1"/>
                  </w14:solidFill>
                </w14:textFill>
              </w:rPr>
              <w:t>校内</w:t>
            </w:r>
            <w:r>
              <w:rPr>
                <w:rFonts w:hint="eastAsia" w:ascii="仿宋" w:hAnsi="仿宋" w:eastAsia="仿宋" w:cs="仿宋"/>
                <w:color w:val="000000" w:themeColor="text1"/>
                <w:sz w:val="21"/>
                <w:szCs w:val="21"/>
                <w:highlight w:val="none"/>
                <w14:textFill>
                  <w14:solidFill>
                    <w14:schemeClr w14:val="tx1"/>
                  </w14:solidFill>
                </w14:textFill>
              </w:rPr>
              <w:t>，且支持私有云平台部署。</w:t>
            </w:r>
          </w:p>
        </w:tc>
      </w:tr>
      <w:tr w14:paraId="48FBC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vAlign w:val="center"/>
          </w:tcPr>
          <w:p w14:paraId="3498AC66">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vAlign w:val="center"/>
          </w:tcPr>
          <w:p w14:paraId="342B2AD9">
            <w:pPr>
              <w:pStyle w:val="14"/>
              <w:spacing w:line="360" w:lineRule="atLeast"/>
              <w:rPr>
                <w:rFonts w:hint="eastAsia" w:ascii="仿宋" w:hAnsi="仿宋" w:eastAsia="仿宋" w:cs="仿宋"/>
                <w:bCs/>
                <w:sz w:val="21"/>
                <w:szCs w:val="21"/>
                <w:highlight w:val="none"/>
              </w:rPr>
            </w:pPr>
          </w:p>
        </w:tc>
        <w:tc>
          <w:tcPr>
            <w:tcW w:w="3839" w:type="pct"/>
            <w:tcBorders>
              <w:left w:val="single" w:color="auto" w:sz="4" w:space="0"/>
            </w:tcBorders>
            <w:shd w:val="clear" w:color="auto" w:fill="auto"/>
            <w:vAlign w:val="center"/>
          </w:tcPr>
          <w:p w14:paraId="4F53B61E">
            <w:pP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b/>
                <w:bCs/>
                <w:color w:val="000000" w:themeColor="text1"/>
                <w:sz w:val="21"/>
                <w:szCs w:val="21"/>
                <w:highlight w:val="none"/>
                <w14:textFill>
                  <w14:solidFill>
                    <w14:schemeClr w14:val="tx1"/>
                  </w14:solidFill>
                </w14:textFill>
              </w:rPr>
              <w:t>响应式：</w:t>
            </w:r>
            <w:r>
              <w:rPr>
                <w:rFonts w:hint="eastAsia" w:ascii="仿宋" w:hAnsi="仿宋" w:eastAsia="仿宋" w:cs="仿宋"/>
                <w:color w:val="000000" w:themeColor="text1"/>
                <w:sz w:val="21"/>
                <w:szCs w:val="21"/>
                <w:highlight w:val="none"/>
                <w14:textFill>
                  <w14:solidFill>
                    <w14:schemeClr w14:val="tx1"/>
                  </w14:solidFill>
                </w14:textFill>
              </w:rPr>
              <w:t>支持响应式网页设计，以自动适应不同终端设备的屏幕宽度；前后端分离结构，所有内容切换不再需要加载页面。</w:t>
            </w:r>
          </w:p>
        </w:tc>
      </w:tr>
      <w:tr w14:paraId="203DB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vAlign w:val="center"/>
          </w:tcPr>
          <w:p w14:paraId="7EBEB9C7">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vAlign w:val="center"/>
          </w:tcPr>
          <w:p w14:paraId="5E573D8A">
            <w:pPr>
              <w:pStyle w:val="14"/>
              <w:spacing w:line="360" w:lineRule="atLeast"/>
              <w:rPr>
                <w:rFonts w:hint="eastAsia" w:ascii="仿宋" w:hAnsi="仿宋" w:eastAsia="仿宋" w:cs="仿宋"/>
                <w:bCs/>
                <w:sz w:val="21"/>
                <w:szCs w:val="21"/>
                <w:highlight w:val="none"/>
              </w:rPr>
            </w:pPr>
          </w:p>
        </w:tc>
        <w:tc>
          <w:tcPr>
            <w:tcW w:w="3839" w:type="pct"/>
            <w:tcBorders>
              <w:left w:val="single" w:color="auto" w:sz="4" w:space="0"/>
            </w:tcBorders>
            <w:shd w:val="clear" w:color="auto" w:fill="auto"/>
            <w:vAlign w:val="center"/>
          </w:tcPr>
          <w:p w14:paraId="66EF00E9">
            <w:pPr>
              <w:rPr>
                <w:rFonts w:hint="eastAsia" w:ascii="仿宋" w:hAnsi="仿宋" w:eastAsia="仿宋" w:cs="仿宋"/>
                <w:b/>
                <w:bCs/>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b/>
                <w:bCs/>
                <w:color w:val="000000" w:themeColor="text1"/>
                <w:sz w:val="21"/>
                <w:szCs w:val="21"/>
                <w:highlight w:val="none"/>
                <w14:textFill>
                  <w14:solidFill>
                    <w14:schemeClr w14:val="tx1"/>
                  </w14:solidFill>
                </w14:textFill>
              </w:rPr>
              <w:t>可伸缩性：</w:t>
            </w:r>
            <w:r>
              <w:rPr>
                <w:rFonts w:hint="eastAsia" w:ascii="仿宋" w:hAnsi="仿宋" w:eastAsia="仿宋" w:cs="仿宋"/>
                <w:color w:val="000000" w:themeColor="text1"/>
                <w:sz w:val="21"/>
                <w:szCs w:val="21"/>
                <w:highlight w:val="none"/>
                <w14:textFill>
                  <w14:solidFill>
                    <w14:schemeClr w14:val="tx1"/>
                  </w14:solidFill>
                </w14:textFill>
              </w:rPr>
              <w:t>支持分层部署；支持集群部署；支持BPM服务器分布式部署；支持部署到虚拟环境（VM）。</w:t>
            </w:r>
          </w:p>
        </w:tc>
      </w:tr>
      <w:tr w14:paraId="52791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jc w:val="center"/>
        </w:trPr>
        <w:tc>
          <w:tcPr>
            <w:tcW w:w="532" w:type="pct"/>
            <w:vMerge w:val="continue"/>
            <w:vAlign w:val="center"/>
          </w:tcPr>
          <w:p w14:paraId="307B2921">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vAlign w:val="center"/>
          </w:tcPr>
          <w:p w14:paraId="4BA2A405">
            <w:pPr>
              <w:pStyle w:val="14"/>
              <w:spacing w:line="360" w:lineRule="atLeast"/>
              <w:rPr>
                <w:rFonts w:hint="eastAsia" w:ascii="仿宋" w:hAnsi="仿宋" w:eastAsia="仿宋" w:cs="仿宋"/>
                <w:bCs/>
                <w:sz w:val="21"/>
                <w:szCs w:val="21"/>
                <w:highlight w:val="none"/>
              </w:rPr>
            </w:pPr>
          </w:p>
        </w:tc>
        <w:tc>
          <w:tcPr>
            <w:tcW w:w="3839" w:type="pct"/>
            <w:tcBorders>
              <w:left w:val="single" w:color="auto" w:sz="4" w:space="0"/>
            </w:tcBorders>
            <w:shd w:val="clear" w:color="auto" w:fill="auto"/>
            <w:vAlign w:val="center"/>
          </w:tcPr>
          <w:p w14:paraId="3E137B84">
            <w:pPr>
              <w:rPr>
                <w:rFonts w:hint="eastAsia" w:ascii="仿宋" w:hAnsi="仿宋" w:eastAsia="仿宋" w:cs="仿宋"/>
                <w:b/>
                <w:bCs/>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b/>
                <w:bCs/>
                <w:color w:val="000000" w:themeColor="text1"/>
                <w:sz w:val="21"/>
                <w:szCs w:val="21"/>
                <w:highlight w:val="none"/>
                <w14:textFill>
                  <w14:solidFill>
                    <w14:schemeClr w14:val="tx1"/>
                  </w14:solidFill>
                </w14:textFill>
              </w:rPr>
              <w:t>并发访问：</w:t>
            </w:r>
            <w:r>
              <w:rPr>
                <w:rFonts w:hint="eastAsia" w:ascii="仿宋" w:hAnsi="仿宋" w:eastAsia="仿宋" w:cs="仿宋"/>
                <w:color w:val="000000" w:themeColor="text1"/>
                <w:sz w:val="21"/>
                <w:szCs w:val="21"/>
                <w:highlight w:val="none"/>
                <w14:textFill>
                  <w14:solidFill>
                    <w14:schemeClr w14:val="tx1"/>
                  </w14:solidFill>
                </w14:textFill>
              </w:rPr>
              <w:t>软件管理与服务平台需要支持不少于100人的并发访问和下载。</w:t>
            </w:r>
          </w:p>
        </w:tc>
      </w:tr>
      <w:tr w14:paraId="3C795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32" w:type="pct"/>
            <w:vMerge w:val="continue"/>
            <w:vAlign w:val="center"/>
          </w:tcPr>
          <w:p w14:paraId="1918B461">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vAlign w:val="center"/>
          </w:tcPr>
          <w:p w14:paraId="0CA16D35">
            <w:pPr>
              <w:pStyle w:val="14"/>
              <w:spacing w:line="360" w:lineRule="atLeast"/>
              <w:rPr>
                <w:rFonts w:hint="eastAsia" w:ascii="仿宋" w:hAnsi="仿宋" w:eastAsia="仿宋" w:cs="仿宋"/>
                <w:bCs/>
                <w:sz w:val="21"/>
                <w:szCs w:val="21"/>
                <w:highlight w:val="none"/>
              </w:rPr>
            </w:pPr>
          </w:p>
        </w:tc>
        <w:tc>
          <w:tcPr>
            <w:tcW w:w="3839" w:type="pct"/>
            <w:tcBorders>
              <w:left w:val="single" w:color="auto" w:sz="4" w:space="0"/>
            </w:tcBorders>
            <w:shd w:val="clear" w:color="auto" w:fill="auto"/>
            <w:vAlign w:val="center"/>
          </w:tcPr>
          <w:p w14:paraId="3B40E31C">
            <w:pPr>
              <w:rPr>
                <w:rFonts w:hint="eastAsia" w:ascii="仿宋" w:hAnsi="仿宋" w:eastAsia="仿宋" w:cs="仿宋"/>
                <w:b/>
                <w:bCs/>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b/>
                <w:bCs/>
                <w:color w:val="000000" w:themeColor="text1"/>
                <w:sz w:val="21"/>
                <w:szCs w:val="21"/>
                <w:highlight w:val="none"/>
                <w14:textFill>
                  <w14:solidFill>
                    <w14:schemeClr w14:val="tx1"/>
                  </w14:solidFill>
                </w14:textFill>
              </w:rPr>
              <w:t>网络协议支持：</w:t>
            </w:r>
            <w:r>
              <w:rPr>
                <w:rFonts w:hint="eastAsia" w:ascii="仿宋" w:hAnsi="仿宋" w:eastAsia="仿宋" w:cs="仿宋"/>
                <w:color w:val="000000" w:themeColor="text1"/>
                <w:sz w:val="21"/>
                <w:szCs w:val="21"/>
                <w:highlight w:val="none"/>
                <w14:textFill>
                  <w14:solidFill>
                    <w14:schemeClr w14:val="tx1"/>
                  </w14:solidFill>
                </w14:textFill>
              </w:rPr>
              <w:t>同时支持 IPv6和IPv4。</w:t>
            </w:r>
          </w:p>
        </w:tc>
      </w:tr>
      <w:tr w14:paraId="452F4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vAlign w:val="center"/>
          </w:tcPr>
          <w:p w14:paraId="560A4F4C">
            <w:pPr>
              <w:pStyle w:val="14"/>
              <w:spacing w:line="360" w:lineRule="atLeast"/>
              <w:rPr>
                <w:rFonts w:hint="eastAsia" w:ascii="仿宋" w:hAnsi="仿宋" w:eastAsia="仿宋" w:cs="仿宋"/>
                <w:bCs/>
                <w:sz w:val="21"/>
                <w:szCs w:val="21"/>
                <w:highlight w:val="none"/>
                <w:lang w:eastAsia="zh-CN"/>
              </w:rPr>
            </w:pPr>
          </w:p>
        </w:tc>
        <w:tc>
          <w:tcPr>
            <w:tcW w:w="628" w:type="pct"/>
            <w:vMerge w:val="restart"/>
            <w:tcBorders>
              <w:left w:val="single" w:color="auto" w:sz="4" w:space="0"/>
              <w:right w:val="single" w:color="auto" w:sz="4" w:space="0"/>
            </w:tcBorders>
            <w:shd w:val="clear" w:color="auto" w:fill="auto"/>
            <w:vAlign w:val="center"/>
          </w:tcPr>
          <w:p w14:paraId="7C7BAECA">
            <w:pPr>
              <w:jc w:val="cente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统一身份认证与集成</w:t>
            </w:r>
          </w:p>
        </w:tc>
        <w:tc>
          <w:tcPr>
            <w:tcW w:w="3839" w:type="pct"/>
            <w:tcBorders>
              <w:left w:val="single" w:color="auto" w:sz="4" w:space="0"/>
            </w:tcBorders>
            <w:shd w:val="clear" w:color="auto" w:fill="auto"/>
            <w:vAlign w:val="center"/>
          </w:tcPr>
          <w:p w14:paraId="06482188">
            <w:pP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服务平台需要采用统一的标准接口开发，需要与本校的统一身份认证系统进行对接，对接方式包括（但不限于）单点登录，实现统一的用户身份登陆验证和权限管理，简化授权激活验证。支持中间表方式对用户信息进行对接。</w:t>
            </w:r>
            <w:r>
              <w:rPr>
                <w:rFonts w:hint="eastAsia" w:ascii="仿宋" w:hAnsi="仿宋" w:eastAsia="仿宋" w:cs="仿宋"/>
                <w:b/>
                <w:bCs/>
                <w:color w:val="000000" w:themeColor="text1"/>
                <w:kern w:val="2"/>
                <w:sz w:val="21"/>
                <w:szCs w:val="21"/>
                <w:lang w:val="en-US" w:eastAsia="zh-CN" w:bidi="ar-SA"/>
                <w14:textFill>
                  <w14:solidFill>
                    <w14:schemeClr w14:val="tx1"/>
                  </w14:solidFill>
                </w14:textFill>
              </w:rPr>
              <w:t>提供有效证明文件或者截图进行证明并加盖供应商公章。</w:t>
            </w:r>
          </w:p>
        </w:tc>
      </w:tr>
      <w:tr w14:paraId="1639E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vAlign w:val="center"/>
          </w:tcPr>
          <w:p w14:paraId="1D6C99C1">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vAlign w:val="center"/>
          </w:tcPr>
          <w:p w14:paraId="5E4E498E">
            <w:pPr>
              <w:pStyle w:val="14"/>
              <w:spacing w:line="360" w:lineRule="atLeast"/>
              <w:rPr>
                <w:rFonts w:hint="eastAsia" w:ascii="仿宋" w:hAnsi="仿宋" w:eastAsia="仿宋" w:cs="仿宋"/>
                <w:bCs/>
                <w:sz w:val="21"/>
                <w:szCs w:val="21"/>
                <w:highlight w:val="none"/>
              </w:rPr>
            </w:pPr>
          </w:p>
        </w:tc>
        <w:tc>
          <w:tcPr>
            <w:tcW w:w="3839" w:type="pct"/>
            <w:tcBorders>
              <w:left w:val="single" w:color="auto" w:sz="4" w:space="0"/>
            </w:tcBorders>
            <w:shd w:val="clear" w:color="auto" w:fill="auto"/>
            <w:vAlign w:val="center"/>
          </w:tcPr>
          <w:p w14:paraId="1FD96CC1">
            <w:pP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▲提供WPS 365账号授权与我校统一认证系统的单点登录对接，管理员无需手动审批即可完成授权过程。</w:t>
            </w:r>
            <w:r>
              <w:rPr>
                <w:rFonts w:hint="eastAsia" w:ascii="仿宋" w:hAnsi="仿宋" w:eastAsia="仿宋" w:cs="仿宋"/>
                <w:b/>
                <w:bCs/>
                <w:color w:val="000000" w:themeColor="text1"/>
                <w:kern w:val="2"/>
                <w:sz w:val="21"/>
                <w:szCs w:val="21"/>
                <w:lang w:val="en-US" w:eastAsia="zh-CN" w:bidi="ar-SA"/>
                <w14:textFill>
                  <w14:solidFill>
                    <w14:schemeClr w14:val="tx1"/>
                  </w14:solidFill>
                </w14:textFill>
              </w:rPr>
              <w:t>提供有效证明文件或者截图进行证明并加盖供应商公章。</w:t>
            </w:r>
          </w:p>
        </w:tc>
      </w:tr>
      <w:tr w14:paraId="25890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532" w:type="pct"/>
            <w:vMerge w:val="continue"/>
            <w:vAlign w:val="center"/>
          </w:tcPr>
          <w:p w14:paraId="766EA256">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vAlign w:val="center"/>
          </w:tcPr>
          <w:p w14:paraId="02CE87BF">
            <w:pPr>
              <w:pStyle w:val="14"/>
              <w:spacing w:line="360" w:lineRule="atLeast"/>
              <w:rPr>
                <w:rFonts w:hint="eastAsia" w:ascii="仿宋" w:hAnsi="仿宋" w:eastAsia="仿宋" w:cs="仿宋"/>
                <w:bCs/>
                <w:sz w:val="21"/>
                <w:szCs w:val="21"/>
                <w:highlight w:val="none"/>
              </w:rPr>
            </w:pPr>
          </w:p>
        </w:tc>
        <w:tc>
          <w:tcPr>
            <w:tcW w:w="3839" w:type="pct"/>
            <w:tcBorders>
              <w:left w:val="single" w:color="auto" w:sz="4" w:space="0"/>
            </w:tcBorders>
            <w:shd w:val="clear" w:color="auto" w:fill="auto"/>
            <w:vAlign w:val="center"/>
          </w:tcPr>
          <w:p w14:paraId="5DC4B30B">
            <w:pP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支持同步用户登录基本信息、用户组织机构、用户岗位等信息</w:t>
            </w:r>
            <w:r>
              <w:rPr>
                <w:rFonts w:hint="eastAsia" w:ascii="仿宋" w:hAnsi="仿宋" w:eastAsia="仿宋" w:cs="仿宋"/>
                <w:color w:val="000000" w:themeColor="text1"/>
                <w:sz w:val="21"/>
                <w:szCs w:val="21"/>
                <w:highlight w:val="none"/>
                <w:lang w:eastAsia="zh-CN"/>
                <w14:textFill>
                  <w14:solidFill>
                    <w14:schemeClr w14:val="tx1"/>
                  </w14:solidFill>
                </w14:textFill>
              </w:rPr>
              <w:t>。</w:t>
            </w:r>
          </w:p>
        </w:tc>
      </w:tr>
      <w:tr w14:paraId="1E3CA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vAlign w:val="center"/>
          </w:tcPr>
          <w:p w14:paraId="04E582B6">
            <w:pPr>
              <w:pStyle w:val="14"/>
              <w:spacing w:line="360" w:lineRule="atLeast"/>
              <w:rPr>
                <w:rFonts w:hint="eastAsia" w:ascii="仿宋" w:hAnsi="仿宋" w:eastAsia="仿宋" w:cs="仿宋"/>
                <w:bCs/>
                <w:sz w:val="21"/>
                <w:szCs w:val="21"/>
                <w:highlight w:val="none"/>
                <w:lang w:eastAsia="zh-CN"/>
              </w:rPr>
            </w:pPr>
          </w:p>
        </w:tc>
        <w:tc>
          <w:tcPr>
            <w:tcW w:w="628" w:type="pct"/>
            <w:tcBorders>
              <w:left w:val="single" w:color="auto" w:sz="4" w:space="0"/>
              <w:right w:val="single" w:color="auto" w:sz="4" w:space="0"/>
            </w:tcBorders>
            <w:shd w:val="clear" w:color="auto" w:fill="auto"/>
            <w:vAlign w:val="center"/>
          </w:tcPr>
          <w:p w14:paraId="2785AB43">
            <w:pPr>
              <w:jc w:val="cente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用户管理</w:t>
            </w:r>
          </w:p>
        </w:tc>
        <w:tc>
          <w:tcPr>
            <w:tcW w:w="3839" w:type="pct"/>
            <w:tcBorders>
              <w:left w:val="single" w:color="auto" w:sz="4" w:space="0"/>
            </w:tcBorders>
            <w:shd w:val="clear" w:color="auto" w:fill="auto"/>
            <w:vAlign w:val="center"/>
          </w:tcPr>
          <w:p w14:paraId="51E72815">
            <w:pP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服务平台需包含用户管理功能，以便在软件管理与服务平台内可以实现独立设置用户在软件管理与服务平台中的使用权限。能支持在服务平台内对用户信息进行维护。</w:t>
            </w:r>
          </w:p>
        </w:tc>
      </w:tr>
      <w:tr w14:paraId="2F6AA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vAlign w:val="center"/>
          </w:tcPr>
          <w:p w14:paraId="24614D50">
            <w:pPr>
              <w:pStyle w:val="14"/>
              <w:spacing w:line="360" w:lineRule="atLeast"/>
              <w:rPr>
                <w:rFonts w:hint="eastAsia" w:ascii="仿宋" w:hAnsi="仿宋" w:eastAsia="仿宋" w:cs="仿宋"/>
                <w:bCs/>
                <w:sz w:val="21"/>
                <w:szCs w:val="21"/>
                <w:highlight w:val="none"/>
                <w:lang w:eastAsia="zh-CN"/>
              </w:rPr>
            </w:pPr>
          </w:p>
        </w:tc>
        <w:tc>
          <w:tcPr>
            <w:tcW w:w="628" w:type="pct"/>
            <w:tcBorders>
              <w:left w:val="single" w:color="auto" w:sz="4" w:space="0"/>
              <w:right w:val="single" w:color="auto" w:sz="4" w:space="0"/>
            </w:tcBorders>
            <w:shd w:val="clear" w:color="auto" w:fill="auto"/>
            <w:vAlign w:val="center"/>
          </w:tcPr>
          <w:p w14:paraId="73260094">
            <w:pPr>
              <w:jc w:val="cente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正版化分析</w:t>
            </w:r>
          </w:p>
        </w:tc>
        <w:tc>
          <w:tcPr>
            <w:tcW w:w="3839" w:type="pct"/>
            <w:tcBorders>
              <w:left w:val="single" w:color="auto" w:sz="4" w:space="0"/>
            </w:tcBorders>
            <w:shd w:val="clear" w:color="auto" w:fill="auto"/>
            <w:vAlign w:val="center"/>
          </w:tcPr>
          <w:p w14:paraId="7D711517">
            <w:pP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▲需提供正版化软件统计分析功能，可根据版权局正版化要求自动生产各类统计报表，支持数据导出功能。</w:t>
            </w:r>
            <w:r>
              <w:rPr>
                <w:rFonts w:hint="eastAsia" w:ascii="仿宋" w:hAnsi="仿宋" w:eastAsia="仿宋" w:cs="仿宋"/>
                <w:b/>
                <w:bCs/>
                <w:color w:val="000000" w:themeColor="text1"/>
                <w:kern w:val="2"/>
                <w:sz w:val="21"/>
                <w:szCs w:val="21"/>
                <w:lang w:val="en-US" w:eastAsia="zh-CN" w:bidi="ar-SA"/>
                <w14:textFill>
                  <w14:solidFill>
                    <w14:schemeClr w14:val="tx1"/>
                  </w14:solidFill>
                </w14:textFill>
              </w:rPr>
              <w:t>提供有效证明文件或者截图进行证明并加盖供应商公章。</w:t>
            </w:r>
          </w:p>
        </w:tc>
      </w:tr>
      <w:tr w14:paraId="5A467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vAlign w:val="center"/>
          </w:tcPr>
          <w:p w14:paraId="5F4BA624">
            <w:pPr>
              <w:pStyle w:val="14"/>
              <w:spacing w:line="360" w:lineRule="atLeast"/>
              <w:rPr>
                <w:rFonts w:hint="eastAsia" w:ascii="仿宋" w:hAnsi="仿宋" w:eastAsia="仿宋" w:cs="仿宋"/>
                <w:bCs/>
                <w:sz w:val="21"/>
                <w:szCs w:val="21"/>
                <w:highlight w:val="none"/>
                <w:lang w:eastAsia="zh-CN"/>
              </w:rPr>
            </w:pPr>
          </w:p>
        </w:tc>
        <w:tc>
          <w:tcPr>
            <w:tcW w:w="628" w:type="pct"/>
            <w:vMerge w:val="restart"/>
            <w:tcBorders>
              <w:left w:val="single" w:color="auto" w:sz="4" w:space="0"/>
              <w:right w:val="single" w:color="auto" w:sz="4" w:space="0"/>
            </w:tcBorders>
            <w:shd w:val="clear" w:color="auto" w:fill="auto"/>
            <w:vAlign w:val="center"/>
          </w:tcPr>
          <w:p w14:paraId="41FB17CC">
            <w:pP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后台管理</w:t>
            </w:r>
          </w:p>
        </w:tc>
        <w:tc>
          <w:tcPr>
            <w:tcW w:w="3839" w:type="pct"/>
            <w:tcBorders>
              <w:left w:val="single" w:color="auto" w:sz="4" w:space="0"/>
            </w:tcBorders>
            <w:shd w:val="clear" w:color="auto" w:fill="auto"/>
            <w:vAlign w:val="center"/>
          </w:tcPr>
          <w:p w14:paraId="4AE74A24">
            <w:pP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▲自主软件管理，本校管理员要能通过软件管理与服务平台的管理后台，自主管理本校的其他软件资源。在后台添加其他软件资源后，在前端可以友好的展示给用户，并让用户下载。</w:t>
            </w:r>
            <w:r>
              <w:rPr>
                <w:rFonts w:hint="eastAsia" w:ascii="仿宋" w:hAnsi="仿宋" w:eastAsia="仿宋" w:cs="仿宋"/>
                <w:b/>
                <w:bCs/>
                <w:color w:val="000000" w:themeColor="text1"/>
                <w:kern w:val="2"/>
                <w:sz w:val="21"/>
                <w:szCs w:val="21"/>
                <w:lang w:val="en-US" w:eastAsia="zh-CN" w:bidi="ar-SA"/>
                <w14:textFill>
                  <w14:solidFill>
                    <w14:schemeClr w14:val="tx1"/>
                  </w14:solidFill>
                </w14:textFill>
              </w:rPr>
              <w:t>提供有效证明文件或者截图进行证明并加盖供应商公章。</w:t>
            </w:r>
          </w:p>
        </w:tc>
      </w:tr>
      <w:tr w14:paraId="547D6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vAlign w:val="center"/>
          </w:tcPr>
          <w:p w14:paraId="5793A3DF">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vAlign w:val="center"/>
          </w:tcPr>
          <w:p w14:paraId="71247D57">
            <w:pPr>
              <w:pStyle w:val="14"/>
              <w:spacing w:line="360" w:lineRule="atLeast"/>
              <w:rPr>
                <w:rFonts w:hint="eastAsia" w:ascii="仿宋" w:hAnsi="仿宋" w:eastAsia="仿宋" w:cs="仿宋"/>
                <w:bCs/>
                <w:sz w:val="21"/>
                <w:szCs w:val="21"/>
                <w:highlight w:val="none"/>
              </w:rPr>
            </w:pPr>
          </w:p>
        </w:tc>
        <w:tc>
          <w:tcPr>
            <w:tcW w:w="3839" w:type="pct"/>
            <w:tcBorders>
              <w:left w:val="single" w:color="auto" w:sz="4" w:space="0"/>
            </w:tcBorders>
            <w:shd w:val="clear" w:color="auto" w:fill="auto"/>
            <w:vAlign w:val="center"/>
          </w:tcPr>
          <w:p w14:paraId="7EC490ED">
            <w:pP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管理后台应当对用户的下载、激活、注册等数据进行记录，并且按照时间、软件及软件类型、用户身份类型及部门、激活状态等元素进行多维度的使用统计，并支持将统计数据进行Excel导出。数据分析进行可视化，提供友好的统计分析界面。</w:t>
            </w:r>
            <w:r>
              <w:rPr>
                <w:rFonts w:hint="eastAsia" w:ascii="仿宋" w:hAnsi="仿宋" w:eastAsia="仿宋" w:cs="仿宋"/>
                <w:b/>
                <w:bCs/>
                <w:color w:val="000000" w:themeColor="text1"/>
                <w:kern w:val="2"/>
                <w:sz w:val="21"/>
                <w:szCs w:val="21"/>
                <w:lang w:val="en-US" w:eastAsia="zh-CN" w:bidi="ar-SA"/>
                <w14:textFill>
                  <w14:solidFill>
                    <w14:schemeClr w14:val="tx1"/>
                  </w14:solidFill>
                </w14:textFill>
              </w:rPr>
              <w:t>提供有效证明文件或者截图进行证明并加盖供应商公章。</w:t>
            </w:r>
          </w:p>
        </w:tc>
      </w:tr>
      <w:tr w14:paraId="5D119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vAlign w:val="center"/>
          </w:tcPr>
          <w:p w14:paraId="7AC1407B">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vAlign w:val="center"/>
          </w:tcPr>
          <w:p w14:paraId="768F9F3E">
            <w:pPr>
              <w:pStyle w:val="14"/>
              <w:spacing w:line="360" w:lineRule="atLeast"/>
              <w:rPr>
                <w:rFonts w:hint="eastAsia" w:ascii="仿宋" w:hAnsi="仿宋" w:eastAsia="仿宋" w:cs="仿宋"/>
                <w:bCs/>
                <w:sz w:val="21"/>
                <w:szCs w:val="21"/>
                <w:highlight w:val="none"/>
              </w:rPr>
            </w:pPr>
          </w:p>
        </w:tc>
        <w:tc>
          <w:tcPr>
            <w:tcW w:w="3839" w:type="pct"/>
            <w:tcBorders>
              <w:left w:val="single" w:color="auto" w:sz="4" w:space="0"/>
            </w:tcBorders>
            <w:shd w:val="clear" w:color="auto" w:fill="auto"/>
            <w:vAlign w:val="center"/>
          </w:tcPr>
          <w:p w14:paraId="1D3ED0A8">
            <w:pPr>
              <w:numPr>
                <w:ilvl w:val="0"/>
                <w:numId w:val="0"/>
              </w:numPr>
              <w:ind w:left="0" w:leftChars="0" w:firstLine="0" w:firstLineChars="0"/>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spacing w:val="-9"/>
                <w:sz w:val="21"/>
                <w:szCs w:val="21"/>
                <w:lang w:val="en-US" w:eastAsia="zh-CN"/>
              </w:rPr>
              <w:t>▲数据可视化服务：基于管理平台运行数据，提供数据可视化中台显示功能，能快速显示用户情况，软件下载，激活分配，软件激活，部门激活排行等相关数据；</w:t>
            </w:r>
            <w:r>
              <w:rPr>
                <w:rFonts w:hint="eastAsia" w:ascii="仿宋" w:hAnsi="仿宋" w:eastAsia="仿宋" w:cs="仿宋"/>
                <w:b/>
                <w:bCs/>
                <w:color w:val="000000" w:themeColor="text1"/>
                <w:kern w:val="2"/>
                <w:sz w:val="21"/>
                <w:szCs w:val="21"/>
                <w:lang w:val="en-US" w:eastAsia="zh-CN" w:bidi="ar-SA"/>
                <w14:textFill>
                  <w14:solidFill>
                    <w14:schemeClr w14:val="tx1"/>
                  </w14:solidFill>
                </w14:textFill>
              </w:rPr>
              <w:t>提供有效证明文件或者截图进行证明并加盖供应商公章。</w:t>
            </w:r>
          </w:p>
        </w:tc>
      </w:tr>
      <w:tr w14:paraId="50DDB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vAlign w:val="center"/>
          </w:tcPr>
          <w:p w14:paraId="52EAD081">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vAlign w:val="center"/>
          </w:tcPr>
          <w:p w14:paraId="40E4DE24">
            <w:pPr>
              <w:pStyle w:val="14"/>
              <w:spacing w:line="360" w:lineRule="atLeast"/>
              <w:rPr>
                <w:rFonts w:hint="eastAsia" w:ascii="仿宋" w:hAnsi="仿宋" w:eastAsia="仿宋" w:cs="仿宋"/>
                <w:bCs/>
                <w:sz w:val="21"/>
                <w:szCs w:val="21"/>
                <w:highlight w:val="none"/>
              </w:rPr>
            </w:pPr>
          </w:p>
        </w:tc>
        <w:tc>
          <w:tcPr>
            <w:tcW w:w="3839" w:type="pct"/>
            <w:tcBorders>
              <w:left w:val="single" w:color="auto" w:sz="4" w:space="0"/>
            </w:tcBorders>
            <w:shd w:val="clear" w:color="auto" w:fill="auto"/>
            <w:vAlign w:val="center"/>
          </w:tcPr>
          <w:p w14:paraId="721B2444">
            <w:pP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本校管理员可以通过管理后台对系统的以下数据进行自主管理和维护：</w:t>
            </w:r>
          </w:p>
          <w:p w14:paraId="583899D4">
            <w:pPr>
              <w:numPr>
                <w:ilvl w:val="0"/>
                <w:numId w:val="9"/>
              </w:numPr>
              <w:ind w:left="425" w:leftChars="0" w:hanging="425" w:firstLineChars="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软件管理与服务平台网站的banner、通告、技术支持联系信息。</w:t>
            </w:r>
          </w:p>
          <w:p w14:paraId="047B91C4">
            <w:pPr>
              <w:numPr>
                <w:ilvl w:val="0"/>
                <w:numId w:val="9"/>
              </w:numPr>
              <w:ind w:left="425" w:leftChars="0" w:hanging="425" w:firstLineChars="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新增、编辑、删除常见问题、帮助文档、学习资源（包括文档资源和视频资源）、通知公告等内容。</w:t>
            </w:r>
          </w:p>
          <w:p w14:paraId="4A2F5DE5">
            <w:pPr>
              <w:numPr>
                <w:ilvl w:val="0"/>
                <w:numId w:val="9"/>
              </w:numPr>
              <w:ind w:left="425" w:leftChars="0" w:hanging="425" w:firstLineChars="0"/>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新增软件资源，编辑、禁用、启用、删除已有软件资源。</w:t>
            </w:r>
          </w:p>
        </w:tc>
      </w:tr>
      <w:tr w14:paraId="6EE76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vAlign w:val="center"/>
          </w:tcPr>
          <w:p w14:paraId="5E653E66">
            <w:pPr>
              <w:pStyle w:val="14"/>
              <w:spacing w:line="360" w:lineRule="atLeast"/>
              <w:rPr>
                <w:rFonts w:hint="eastAsia" w:ascii="仿宋" w:hAnsi="仿宋" w:eastAsia="仿宋" w:cs="仿宋"/>
                <w:bCs/>
                <w:sz w:val="21"/>
                <w:szCs w:val="21"/>
                <w:highlight w:val="none"/>
                <w:lang w:eastAsia="zh-CN"/>
              </w:rPr>
            </w:pPr>
          </w:p>
        </w:tc>
        <w:tc>
          <w:tcPr>
            <w:tcW w:w="628" w:type="pct"/>
            <w:vMerge w:val="restart"/>
            <w:tcBorders>
              <w:left w:val="single" w:color="auto" w:sz="4" w:space="0"/>
              <w:right w:val="single" w:color="auto" w:sz="4" w:space="0"/>
            </w:tcBorders>
            <w:shd w:val="clear" w:color="auto" w:fill="auto"/>
            <w:vAlign w:val="center"/>
          </w:tcPr>
          <w:p w14:paraId="3D66187D">
            <w:pPr>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统一日志</w:t>
            </w:r>
          </w:p>
          <w:p w14:paraId="61895BAE">
            <w:pPr>
              <w:jc w:val="cente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p>
        </w:tc>
        <w:tc>
          <w:tcPr>
            <w:tcW w:w="3839" w:type="pct"/>
            <w:tcBorders>
              <w:left w:val="single" w:color="auto" w:sz="4" w:space="0"/>
            </w:tcBorders>
            <w:shd w:val="clear" w:color="auto" w:fill="auto"/>
            <w:vAlign w:val="center"/>
          </w:tcPr>
          <w:p w14:paraId="4C86D19F">
            <w:pP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登录日志，管理员的登录日志、管理员操作日志等，登录日志应当包括登录的账号、时间、IP、登录结果、登录失败原因；</w:t>
            </w:r>
          </w:p>
        </w:tc>
      </w:tr>
      <w:tr w14:paraId="7CB98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vAlign w:val="center"/>
          </w:tcPr>
          <w:p w14:paraId="34A67236">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vAlign w:val="center"/>
          </w:tcPr>
          <w:p w14:paraId="33DA85CB">
            <w:pPr>
              <w:pStyle w:val="14"/>
              <w:spacing w:line="360" w:lineRule="atLeast"/>
              <w:rPr>
                <w:rFonts w:hint="eastAsia" w:ascii="仿宋" w:hAnsi="仿宋" w:eastAsia="仿宋" w:cs="仿宋"/>
                <w:bCs/>
                <w:sz w:val="21"/>
                <w:szCs w:val="21"/>
                <w:highlight w:val="none"/>
              </w:rPr>
            </w:pPr>
          </w:p>
        </w:tc>
        <w:tc>
          <w:tcPr>
            <w:tcW w:w="3839" w:type="pct"/>
            <w:tcBorders>
              <w:left w:val="single" w:color="auto" w:sz="4" w:space="0"/>
            </w:tcBorders>
            <w:shd w:val="clear" w:color="auto" w:fill="auto"/>
            <w:vAlign w:val="center"/>
          </w:tcPr>
          <w:p w14:paraId="1E4E9D86">
            <w:pP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▲操作日志应当包括操作的账号、时间、IP、操作的功能模块、操作的内容。并提供相应的查询界面，可以按照时段、账号、IP等条件进行查询备份和归档，以便审计使用。</w:t>
            </w:r>
            <w:r>
              <w:rPr>
                <w:rFonts w:hint="eastAsia" w:ascii="仿宋" w:hAnsi="仿宋" w:eastAsia="仿宋" w:cs="仿宋"/>
                <w:b/>
                <w:bCs/>
                <w:color w:val="000000" w:themeColor="text1"/>
                <w:kern w:val="2"/>
                <w:sz w:val="21"/>
                <w:szCs w:val="21"/>
                <w:lang w:val="en-US" w:eastAsia="zh-CN" w:bidi="ar-SA"/>
                <w14:textFill>
                  <w14:solidFill>
                    <w14:schemeClr w14:val="tx1"/>
                  </w14:solidFill>
                </w14:textFill>
              </w:rPr>
              <w:t>提供有效证明文件或者截图进行证明并加盖供应商公章。</w:t>
            </w:r>
          </w:p>
        </w:tc>
      </w:tr>
      <w:tr w14:paraId="10F61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vAlign w:val="center"/>
          </w:tcPr>
          <w:p w14:paraId="7155AB14">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vAlign w:val="center"/>
          </w:tcPr>
          <w:p w14:paraId="4947A8DB">
            <w:pPr>
              <w:pStyle w:val="14"/>
              <w:spacing w:line="360" w:lineRule="atLeast"/>
              <w:rPr>
                <w:rFonts w:hint="eastAsia" w:ascii="仿宋" w:hAnsi="仿宋" w:eastAsia="仿宋" w:cs="仿宋"/>
                <w:bCs/>
                <w:sz w:val="21"/>
                <w:szCs w:val="21"/>
                <w:highlight w:val="none"/>
              </w:rPr>
            </w:pPr>
          </w:p>
        </w:tc>
        <w:tc>
          <w:tcPr>
            <w:tcW w:w="3839" w:type="pct"/>
            <w:tcBorders>
              <w:left w:val="single" w:color="auto" w:sz="4" w:space="0"/>
            </w:tcBorders>
            <w:shd w:val="clear" w:color="auto" w:fill="auto"/>
            <w:vAlign w:val="center"/>
          </w:tcPr>
          <w:p w14:paraId="649BD82E">
            <w:pP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支持展示账号异常登录（即因尝试次数较多被冻结的）的分时段次数，支持点击跳转到账号列表及登录时间日志。</w:t>
            </w:r>
          </w:p>
        </w:tc>
      </w:tr>
      <w:tr w14:paraId="37B9C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vAlign w:val="center"/>
          </w:tcPr>
          <w:p w14:paraId="15201083">
            <w:pPr>
              <w:pStyle w:val="14"/>
              <w:spacing w:line="360" w:lineRule="atLeast"/>
              <w:rPr>
                <w:rFonts w:hint="eastAsia" w:ascii="仿宋" w:hAnsi="仿宋" w:eastAsia="仿宋" w:cs="仿宋"/>
                <w:bCs/>
                <w:sz w:val="21"/>
                <w:szCs w:val="21"/>
                <w:highlight w:val="none"/>
                <w:lang w:eastAsia="zh-CN"/>
              </w:rPr>
            </w:pPr>
          </w:p>
        </w:tc>
        <w:tc>
          <w:tcPr>
            <w:tcW w:w="628" w:type="pct"/>
            <w:tcBorders>
              <w:left w:val="single" w:color="auto" w:sz="4" w:space="0"/>
              <w:right w:val="single" w:color="auto" w:sz="4" w:space="0"/>
            </w:tcBorders>
            <w:shd w:val="clear" w:color="auto" w:fill="auto"/>
            <w:vAlign w:val="center"/>
          </w:tcPr>
          <w:p w14:paraId="03818668">
            <w:pPr>
              <w:jc w:val="cente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知识产权要求</w:t>
            </w:r>
          </w:p>
        </w:tc>
        <w:tc>
          <w:tcPr>
            <w:tcW w:w="3839" w:type="pct"/>
            <w:tcBorders>
              <w:left w:val="single" w:color="auto" w:sz="4" w:space="0"/>
            </w:tcBorders>
            <w:shd w:val="clear" w:color="auto" w:fill="auto"/>
            <w:vAlign w:val="center"/>
          </w:tcPr>
          <w:p w14:paraId="5DC26595">
            <w:pPr>
              <w:rPr>
                <w:rFonts w:hint="eastAsia" w:ascii="仿宋" w:hAnsi="仿宋" w:eastAsia="仿宋" w:cs="仿宋"/>
                <w:color w:val="000000" w:themeColor="text1"/>
                <w:kern w:val="2"/>
                <w:sz w:val="21"/>
                <w:szCs w:val="21"/>
                <w:highlight w:val="none"/>
                <w:lang w:val="en-US" w:eastAsia="zh-CN" w:bidi="ar-SA"/>
                <w14:textFill>
                  <w14:solidFill>
                    <w14:schemeClr w14:val="tx1"/>
                  </w14:solidFill>
                </w14:textFill>
              </w:rPr>
            </w:pPr>
            <w:r>
              <w:rPr>
                <w:rFonts w:hint="eastAsia" w:ascii="仿宋" w:hAnsi="仿宋" w:eastAsia="仿宋" w:cs="仿宋"/>
                <w:bCs/>
                <w:sz w:val="21"/>
                <w:szCs w:val="21"/>
                <w:highlight w:val="none"/>
                <w:lang w:eastAsia="zh-CN"/>
              </w:rPr>
              <w:t>★</w:t>
            </w:r>
            <w:r>
              <w:rPr>
                <w:rFonts w:hint="eastAsia" w:ascii="仿宋" w:hAnsi="仿宋" w:eastAsia="仿宋" w:cs="仿宋"/>
                <w:color w:val="000000" w:themeColor="text1"/>
                <w:sz w:val="21"/>
                <w:szCs w:val="21"/>
                <w:highlight w:val="none"/>
                <w14:textFill>
                  <w14:solidFill>
                    <w14:schemeClr w14:val="tx1"/>
                  </w14:solidFill>
                </w14:textFill>
              </w:rPr>
              <w:t>软件管理与服务平台服务提供商，保证其归功的服务不得侵犯任何第三方的合法知识产权以及其他权益。必须引导本校合规的使用第三方公司的软件商品，如果是由于知识产权以及第三方公司的软件合规导致的第三方追责，本校概不负责，一切责任由软件管理与服务平台服务提供商负责。</w:t>
            </w:r>
            <w:r>
              <w:rPr>
                <w:rFonts w:hint="eastAsia" w:ascii="仿宋" w:hAnsi="仿宋" w:eastAsia="仿宋" w:cs="仿宋"/>
                <w:b/>
                <w:bCs/>
                <w:spacing w:val="-9"/>
                <w:sz w:val="21"/>
                <w:szCs w:val="21"/>
                <w:lang w:val="en-US" w:eastAsia="zh-CN"/>
              </w:rPr>
              <w:t>提供承诺函并加盖</w:t>
            </w:r>
            <w:r>
              <w:rPr>
                <w:rFonts w:hint="eastAsia" w:ascii="仿宋" w:hAnsi="仿宋" w:eastAsia="仿宋" w:cs="仿宋"/>
                <w:b/>
                <w:bCs/>
                <w:color w:val="000000" w:themeColor="text1"/>
                <w:kern w:val="2"/>
                <w:sz w:val="21"/>
                <w:szCs w:val="21"/>
                <w:lang w:val="en-US" w:eastAsia="zh-CN" w:bidi="ar-SA"/>
                <w14:textFill>
                  <w14:solidFill>
                    <w14:schemeClr w14:val="tx1"/>
                  </w14:solidFill>
                </w14:textFill>
              </w:rPr>
              <w:t>供应商公章</w:t>
            </w:r>
            <w:r>
              <w:rPr>
                <w:rFonts w:hint="eastAsia" w:ascii="仿宋" w:hAnsi="仿宋" w:eastAsia="仿宋" w:cs="仿宋"/>
                <w:b/>
                <w:bCs/>
                <w:spacing w:val="-9"/>
                <w:sz w:val="21"/>
                <w:szCs w:val="21"/>
                <w:lang w:val="en-US" w:eastAsia="zh-CN"/>
              </w:rPr>
              <w:t>。</w:t>
            </w:r>
          </w:p>
        </w:tc>
      </w:tr>
      <w:tr w14:paraId="5D5EFA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32" w:type="pct"/>
            <w:vMerge w:val="restart"/>
            <w:vAlign w:val="center"/>
          </w:tcPr>
          <w:p w14:paraId="63B0F93F">
            <w:pPr>
              <w:pStyle w:val="14"/>
              <w:spacing w:line="360" w:lineRule="atLeast"/>
              <w:rPr>
                <w:rFonts w:hint="eastAsia" w:ascii="仿宋" w:hAnsi="仿宋" w:eastAsia="仿宋" w:cs="仿宋"/>
                <w:bCs/>
                <w:sz w:val="21"/>
                <w:szCs w:val="21"/>
                <w:highlight w:val="none"/>
                <w:lang w:val="en-US" w:eastAsia="zh-CN"/>
              </w:rPr>
            </w:pPr>
            <w:r>
              <w:rPr>
                <w:rFonts w:hint="eastAsia" w:ascii="仿宋" w:hAnsi="仿宋" w:eastAsia="仿宋" w:cs="仿宋"/>
                <w:bCs/>
                <w:sz w:val="21"/>
                <w:szCs w:val="21"/>
                <w:highlight w:val="none"/>
                <w:lang w:val="en-US" w:eastAsia="zh-CN"/>
              </w:rPr>
              <w:t>售后运维服务</w:t>
            </w:r>
          </w:p>
        </w:tc>
        <w:tc>
          <w:tcPr>
            <w:tcW w:w="628" w:type="pct"/>
            <w:vMerge w:val="restart"/>
            <w:tcBorders>
              <w:left w:val="single" w:color="auto" w:sz="4" w:space="0"/>
              <w:right w:val="single" w:color="auto" w:sz="4" w:space="0"/>
            </w:tcBorders>
            <w:vAlign w:val="center"/>
          </w:tcPr>
          <w:p w14:paraId="223FD403">
            <w:pPr>
              <w:pStyle w:val="14"/>
              <w:spacing w:line="360" w:lineRule="atLeast"/>
              <w:rPr>
                <w:rFonts w:hint="eastAsia" w:ascii="仿宋" w:hAnsi="仿宋" w:eastAsia="仿宋" w:cs="仿宋"/>
                <w:bCs/>
                <w:sz w:val="21"/>
                <w:szCs w:val="21"/>
                <w:highlight w:val="none"/>
                <w:lang w:val="en-US" w:eastAsia="zh-CN"/>
              </w:rPr>
            </w:pPr>
            <w:r>
              <w:rPr>
                <w:rFonts w:hint="eastAsia" w:ascii="仿宋" w:hAnsi="仿宋" w:eastAsia="仿宋" w:cs="仿宋"/>
                <w:bCs/>
                <w:sz w:val="21"/>
                <w:szCs w:val="21"/>
                <w:highlight w:val="none"/>
                <w:lang w:val="en-US" w:eastAsia="zh-CN"/>
              </w:rPr>
              <w:t>服务要求</w:t>
            </w:r>
          </w:p>
        </w:tc>
        <w:tc>
          <w:tcPr>
            <w:tcW w:w="3839" w:type="pct"/>
            <w:tcBorders>
              <w:left w:val="single" w:color="auto" w:sz="4" w:space="0"/>
            </w:tcBorders>
            <w:shd w:val="clear" w:color="auto" w:fill="auto"/>
            <w:vAlign w:val="center"/>
          </w:tcPr>
          <w:p w14:paraId="5F217B53">
            <w:pPr>
              <w:pStyle w:val="14"/>
              <w:keepNext w:val="0"/>
              <w:keepLines w:val="0"/>
              <w:pageBreakBefore w:val="0"/>
              <w:widowControl w:val="0"/>
              <w:kinsoku/>
              <w:wordWrap/>
              <w:overflowPunct/>
              <w:topLinePunct w:val="0"/>
              <w:autoSpaceDE/>
              <w:autoSpaceDN/>
              <w:bidi w:val="0"/>
              <w:adjustRightInd/>
              <w:snapToGrid/>
              <w:spacing w:line="360" w:lineRule="exact"/>
              <w:ind w:left="3" w:leftChars="0"/>
              <w:textAlignment w:val="auto"/>
              <w:rPr>
                <w:rFonts w:hint="eastAsia" w:ascii="仿宋" w:hAnsi="仿宋" w:eastAsia="仿宋" w:cs="仿宋"/>
                <w:spacing w:val="-9"/>
                <w:kern w:val="0"/>
                <w:sz w:val="21"/>
                <w:szCs w:val="21"/>
                <w:lang w:val="en-US" w:eastAsia="zh-CN" w:bidi="ar-SA"/>
              </w:rPr>
            </w:pPr>
            <w:r>
              <w:rPr>
                <w:rFonts w:hint="eastAsia" w:ascii="仿宋" w:hAnsi="仿宋" w:eastAsia="仿宋" w:cs="仿宋"/>
                <w:spacing w:val="-9"/>
                <w:sz w:val="21"/>
                <w:szCs w:val="21"/>
                <w:lang w:val="en-US" w:eastAsia="zh-CN"/>
              </w:rPr>
              <w:t>授权有效期内提供正版软件升级服务。</w:t>
            </w:r>
          </w:p>
        </w:tc>
      </w:tr>
      <w:tr w14:paraId="55546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vAlign w:val="center"/>
          </w:tcPr>
          <w:p w14:paraId="3E482ED0">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vAlign w:val="center"/>
          </w:tcPr>
          <w:p w14:paraId="5CEE717F">
            <w:pPr>
              <w:pStyle w:val="14"/>
              <w:spacing w:line="360" w:lineRule="atLeast"/>
              <w:rPr>
                <w:rFonts w:hint="eastAsia" w:ascii="仿宋" w:hAnsi="仿宋" w:eastAsia="仿宋" w:cs="仿宋"/>
                <w:bCs/>
                <w:sz w:val="21"/>
                <w:szCs w:val="21"/>
                <w:highlight w:val="none"/>
              </w:rPr>
            </w:pPr>
          </w:p>
        </w:tc>
        <w:tc>
          <w:tcPr>
            <w:tcW w:w="3839" w:type="pct"/>
            <w:tcBorders>
              <w:left w:val="single" w:color="auto" w:sz="4" w:space="0"/>
            </w:tcBorders>
            <w:shd w:val="clear" w:color="auto" w:fill="auto"/>
            <w:vAlign w:val="center"/>
          </w:tcPr>
          <w:p w14:paraId="27F95AD5">
            <w:pPr>
              <w:pStyle w:val="14"/>
              <w:keepNext w:val="0"/>
              <w:keepLines w:val="0"/>
              <w:pageBreakBefore w:val="0"/>
              <w:widowControl w:val="0"/>
              <w:kinsoku/>
              <w:wordWrap/>
              <w:overflowPunct/>
              <w:topLinePunct w:val="0"/>
              <w:autoSpaceDE/>
              <w:autoSpaceDN/>
              <w:bidi w:val="0"/>
              <w:adjustRightInd/>
              <w:snapToGrid/>
              <w:spacing w:line="360" w:lineRule="exact"/>
              <w:ind w:left="3" w:leftChars="0"/>
              <w:textAlignment w:val="auto"/>
              <w:rPr>
                <w:rFonts w:hint="eastAsia" w:ascii="仿宋" w:hAnsi="仿宋" w:eastAsia="仿宋" w:cs="仿宋"/>
                <w:spacing w:val="-9"/>
                <w:kern w:val="0"/>
                <w:sz w:val="21"/>
                <w:szCs w:val="21"/>
                <w:lang w:val="en-US" w:eastAsia="zh-CN" w:bidi="ar-SA"/>
              </w:rPr>
            </w:pPr>
            <w:r>
              <w:rPr>
                <w:rFonts w:hint="eastAsia" w:ascii="仿宋" w:hAnsi="仿宋" w:eastAsia="仿宋" w:cs="仿宋"/>
                <w:spacing w:val="-9"/>
                <w:sz w:val="21"/>
                <w:szCs w:val="21"/>
                <w:lang w:val="en-US" w:eastAsia="zh-CN"/>
              </w:rPr>
              <w:t>每季度进行一次设备巡检服务，检查正版软件相关配置，保证管理平台的正常运行，提供科学可实施的方案。</w:t>
            </w:r>
            <w:r>
              <w:rPr>
                <w:rFonts w:hint="eastAsia" w:ascii="仿宋" w:hAnsi="仿宋" w:eastAsia="仿宋" w:cs="仿宋"/>
                <w:color w:val="000000" w:themeColor="text1"/>
                <w:sz w:val="21"/>
                <w:szCs w:val="21"/>
                <w:highlight w:val="none"/>
                <w14:textFill>
                  <w14:solidFill>
                    <w14:schemeClr w14:val="tx1"/>
                  </w14:solidFill>
                </w14:textFill>
              </w:rPr>
              <w:t>巡检内容包括（但不限于）软件管理与服务平台服务器运行情况监测、KMS服务器检查、激活测试、下载测试、系统及应用服务系统的补丁更新、数据备份检查。每次巡检应当出具相应的巡检报告，并将巡检包括发送给负责系统对接和管理的老师。巡检发现问题应当在24小时内完成处理。</w:t>
            </w:r>
          </w:p>
        </w:tc>
      </w:tr>
      <w:tr w14:paraId="6596C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tcPr>
          <w:p w14:paraId="27BFED80">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tcPr>
          <w:p w14:paraId="4DFB8E93">
            <w:pPr>
              <w:pStyle w:val="14"/>
              <w:spacing w:line="360" w:lineRule="atLeast"/>
              <w:rPr>
                <w:rFonts w:hint="eastAsia" w:ascii="仿宋" w:hAnsi="仿宋" w:eastAsia="仿宋" w:cs="仿宋"/>
                <w:bCs/>
                <w:sz w:val="21"/>
                <w:szCs w:val="21"/>
                <w:highlight w:val="none"/>
              </w:rPr>
            </w:pPr>
          </w:p>
        </w:tc>
        <w:tc>
          <w:tcPr>
            <w:tcW w:w="3839" w:type="pct"/>
            <w:shd w:val="clear" w:color="auto" w:fill="auto"/>
            <w:vAlign w:val="center"/>
          </w:tcPr>
          <w:p w14:paraId="707FF817">
            <w:pPr>
              <w:pStyle w:val="14"/>
              <w:keepNext w:val="0"/>
              <w:keepLines w:val="0"/>
              <w:pageBreakBefore w:val="0"/>
              <w:widowControl w:val="0"/>
              <w:kinsoku/>
              <w:wordWrap/>
              <w:overflowPunct/>
              <w:topLinePunct w:val="0"/>
              <w:autoSpaceDE/>
              <w:autoSpaceDN/>
              <w:bidi w:val="0"/>
              <w:adjustRightInd/>
              <w:snapToGrid/>
              <w:spacing w:line="360" w:lineRule="exact"/>
              <w:ind w:left="3" w:leftChars="0"/>
              <w:textAlignment w:val="auto"/>
              <w:rPr>
                <w:rFonts w:hint="eastAsia" w:ascii="仿宋" w:hAnsi="仿宋" w:eastAsia="仿宋" w:cs="仿宋"/>
                <w:spacing w:val="-9"/>
                <w:kern w:val="0"/>
                <w:sz w:val="21"/>
                <w:szCs w:val="21"/>
                <w:lang w:val="en-US" w:eastAsia="zh-CN" w:bidi="ar-SA"/>
              </w:rPr>
            </w:pPr>
            <w:r>
              <w:rPr>
                <w:rFonts w:hint="eastAsia" w:ascii="仿宋" w:hAnsi="仿宋" w:eastAsia="仿宋" w:cs="仿宋"/>
                <w:spacing w:val="-9"/>
                <w:sz w:val="21"/>
                <w:szCs w:val="21"/>
                <w:lang w:val="en-US" w:eastAsia="zh-CN"/>
              </w:rPr>
              <w:t>远程运维服务：提供 400 电话热线和网络咨询服务(5*8小时/周)，配合学校技术人员，支持现场工程师排查疑难或重大技术故障，制定解决方案，采取有效措施尽快恢复业务服务。</w:t>
            </w:r>
          </w:p>
        </w:tc>
      </w:tr>
      <w:tr w14:paraId="53E0A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tcPr>
          <w:p w14:paraId="2949903D">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tcPr>
          <w:p w14:paraId="3B61EA36">
            <w:pPr>
              <w:pStyle w:val="14"/>
              <w:spacing w:line="360" w:lineRule="atLeast"/>
              <w:rPr>
                <w:rFonts w:hint="eastAsia" w:ascii="仿宋" w:hAnsi="仿宋" w:eastAsia="仿宋" w:cs="仿宋"/>
                <w:bCs/>
                <w:sz w:val="21"/>
                <w:szCs w:val="21"/>
                <w:highlight w:val="none"/>
              </w:rPr>
            </w:pPr>
          </w:p>
        </w:tc>
        <w:tc>
          <w:tcPr>
            <w:tcW w:w="3839" w:type="pct"/>
            <w:shd w:val="clear" w:color="auto" w:fill="auto"/>
            <w:vAlign w:val="center"/>
          </w:tcPr>
          <w:p w14:paraId="1921B577">
            <w:pPr>
              <w:pStyle w:val="14"/>
              <w:keepNext w:val="0"/>
              <w:keepLines w:val="0"/>
              <w:pageBreakBefore w:val="0"/>
              <w:widowControl w:val="0"/>
              <w:kinsoku/>
              <w:wordWrap/>
              <w:overflowPunct/>
              <w:topLinePunct w:val="0"/>
              <w:autoSpaceDE/>
              <w:autoSpaceDN/>
              <w:bidi w:val="0"/>
              <w:adjustRightInd/>
              <w:snapToGrid/>
              <w:spacing w:line="360" w:lineRule="exact"/>
              <w:ind w:left="3" w:leftChars="0"/>
              <w:textAlignment w:val="auto"/>
              <w:rPr>
                <w:rFonts w:hint="eastAsia" w:ascii="仿宋" w:hAnsi="仿宋" w:eastAsia="仿宋" w:cs="仿宋"/>
                <w:spacing w:val="-9"/>
                <w:kern w:val="0"/>
                <w:sz w:val="21"/>
                <w:szCs w:val="21"/>
                <w:lang w:val="en-US" w:eastAsia="zh-CN" w:bidi="ar-SA"/>
              </w:rPr>
            </w:pPr>
            <w:r>
              <w:rPr>
                <w:rFonts w:hint="eastAsia" w:ascii="仿宋" w:hAnsi="仿宋" w:eastAsia="仿宋" w:cs="仿宋"/>
                <w:spacing w:val="-9"/>
                <w:sz w:val="21"/>
                <w:szCs w:val="21"/>
                <w:lang w:val="en-US" w:eastAsia="zh-CN"/>
              </w:rPr>
              <w:t>遇到重大问题，现场人员短时间内（半小时以内）未能解决问题时，校方提出要求，后台支持团队必须立即派出1名及以上技术资深技术工程师4小时内抵达现场</w:t>
            </w:r>
          </w:p>
        </w:tc>
      </w:tr>
      <w:tr w14:paraId="0A330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tcPr>
          <w:p w14:paraId="5264496E">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tcPr>
          <w:p w14:paraId="22A0C349">
            <w:pPr>
              <w:pStyle w:val="14"/>
              <w:spacing w:line="360" w:lineRule="atLeast"/>
              <w:rPr>
                <w:rFonts w:hint="eastAsia" w:ascii="仿宋" w:hAnsi="仿宋" w:eastAsia="仿宋" w:cs="仿宋"/>
                <w:bCs/>
                <w:sz w:val="21"/>
                <w:szCs w:val="21"/>
                <w:highlight w:val="none"/>
              </w:rPr>
            </w:pPr>
          </w:p>
        </w:tc>
        <w:tc>
          <w:tcPr>
            <w:tcW w:w="3839" w:type="pct"/>
            <w:shd w:val="clear" w:color="auto" w:fill="auto"/>
            <w:vAlign w:val="center"/>
          </w:tcPr>
          <w:p w14:paraId="077893AD">
            <w:pPr>
              <w:pStyle w:val="14"/>
              <w:keepNext w:val="0"/>
              <w:keepLines w:val="0"/>
              <w:pageBreakBefore w:val="0"/>
              <w:widowControl w:val="0"/>
              <w:kinsoku/>
              <w:wordWrap/>
              <w:overflowPunct/>
              <w:topLinePunct w:val="0"/>
              <w:autoSpaceDE/>
              <w:autoSpaceDN/>
              <w:bidi w:val="0"/>
              <w:adjustRightInd/>
              <w:snapToGrid/>
              <w:spacing w:line="360" w:lineRule="exact"/>
              <w:ind w:left="3" w:leftChars="0"/>
              <w:textAlignment w:val="auto"/>
              <w:rPr>
                <w:rFonts w:hint="eastAsia" w:ascii="仿宋" w:hAnsi="仿宋" w:eastAsia="仿宋" w:cs="仿宋"/>
                <w:spacing w:val="-9"/>
                <w:kern w:val="0"/>
                <w:sz w:val="21"/>
                <w:szCs w:val="21"/>
                <w:lang w:val="en-US" w:eastAsia="zh-CN" w:bidi="ar-SA"/>
              </w:rPr>
            </w:pPr>
            <w:r>
              <w:rPr>
                <w:rFonts w:hint="eastAsia" w:ascii="仿宋" w:hAnsi="仿宋" w:eastAsia="仿宋" w:cs="仿宋"/>
                <w:spacing w:val="-9"/>
                <w:sz w:val="21"/>
                <w:szCs w:val="21"/>
                <w:lang w:val="en-US" w:eastAsia="zh-CN"/>
              </w:rPr>
              <w:t>服务响应支持：响应支持主要包括管理平台故障、操作系统及办公软件答疑、用户报障等方面的技术支持和故障处理；提供响应支持及时的远程或现场故障处理服务。</w:t>
            </w:r>
          </w:p>
        </w:tc>
      </w:tr>
      <w:tr w14:paraId="075DC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tcPr>
          <w:p w14:paraId="164A609F">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tcPr>
          <w:p w14:paraId="5583C960">
            <w:pPr>
              <w:pStyle w:val="14"/>
              <w:spacing w:line="360" w:lineRule="atLeast"/>
              <w:rPr>
                <w:rFonts w:hint="eastAsia" w:ascii="仿宋" w:hAnsi="仿宋" w:eastAsia="仿宋" w:cs="仿宋"/>
                <w:bCs/>
                <w:sz w:val="21"/>
                <w:szCs w:val="21"/>
                <w:highlight w:val="none"/>
              </w:rPr>
            </w:pPr>
          </w:p>
        </w:tc>
        <w:tc>
          <w:tcPr>
            <w:tcW w:w="3839" w:type="pct"/>
            <w:shd w:val="clear" w:color="auto" w:fill="auto"/>
            <w:vAlign w:val="center"/>
          </w:tcPr>
          <w:p w14:paraId="72E1F630">
            <w:pPr>
              <w:pStyle w:val="14"/>
              <w:keepNext w:val="0"/>
              <w:keepLines w:val="0"/>
              <w:pageBreakBefore w:val="0"/>
              <w:widowControl w:val="0"/>
              <w:kinsoku/>
              <w:wordWrap/>
              <w:overflowPunct/>
              <w:topLinePunct w:val="0"/>
              <w:autoSpaceDE/>
              <w:autoSpaceDN/>
              <w:bidi w:val="0"/>
              <w:adjustRightInd/>
              <w:snapToGrid/>
              <w:spacing w:line="360" w:lineRule="exact"/>
              <w:ind w:left="3"/>
              <w:textAlignment w:val="auto"/>
              <w:rPr>
                <w:rFonts w:hint="eastAsia" w:ascii="仿宋" w:hAnsi="仿宋" w:eastAsia="仿宋" w:cs="仿宋"/>
                <w:spacing w:val="-9"/>
                <w:sz w:val="21"/>
                <w:szCs w:val="21"/>
                <w:lang w:eastAsia="zh-CN"/>
              </w:rPr>
            </w:pPr>
            <w:r>
              <w:rPr>
                <w:rFonts w:hint="eastAsia" w:ascii="仿宋" w:hAnsi="仿宋" w:eastAsia="仿宋" w:cs="仿宋"/>
                <w:spacing w:val="-9"/>
                <w:sz w:val="21"/>
                <w:szCs w:val="21"/>
                <w:lang w:eastAsia="zh-CN"/>
              </w:rPr>
              <w:t>▲针对校内用户在使用平台提供的各项功能中遇到的各种问题提供全面的技术支持服务，要求达到：</w:t>
            </w:r>
          </w:p>
          <w:p w14:paraId="7E51324A">
            <w:pPr>
              <w:pStyle w:val="14"/>
              <w:keepNext w:val="0"/>
              <w:keepLines w:val="0"/>
              <w:pageBreakBefore w:val="0"/>
              <w:widowControl w:val="0"/>
              <w:kinsoku/>
              <w:wordWrap/>
              <w:overflowPunct/>
              <w:topLinePunct w:val="0"/>
              <w:autoSpaceDE/>
              <w:autoSpaceDN/>
              <w:bidi w:val="0"/>
              <w:adjustRightInd/>
              <w:snapToGrid/>
              <w:spacing w:line="360" w:lineRule="exact"/>
              <w:ind w:left="3"/>
              <w:textAlignment w:val="auto"/>
              <w:rPr>
                <w:rFonts w:hint="eastAsia" w:ascii="仿宋" w:hAnsi="仿宋" w:eastAsia="仿宋" w:cs="仿宋"/>
                <w:spacing w:val="-9"/>
                <w:sz w:val="21"/>
                <w:szCs w:val="21"/>
                <w:lang w:eastAsia="zh-CN"/>
              </w:rPr>
            </w:pPr>
            <w:r>
              <w:rPr>
                <w:rFonts w:hint="eastAsia" w:ascii="仿宋" w:hAnsi="仿宋" w:eastAsia="仿宋" w:cs="仿宋"/>
                <w:spacing w:val="-9"/>
                <w:sz w:val="21"/>
                <w:szCs w:val="21"/>
                <w:lang w:eastAsia="zh-CN"/>
              </w:rPr>
              <w:t>向校内用户提供软件管理与服务平台咨询使用提供5x8的技术支持服务；</w:t>
            </w:r>
          </w:p>
          <w:p w14:paraId="54EFDAA7">
            <w:pPr>
              <w:pStyle w:val="14"/>
              <w:keepNext w:val="0"/>
              <w:keepLines w:val="0"/>
              <w:pageBreakBefore w:val="0"/>
              <w:widowControl w:val="0"/>
              <w:kinsoku/>
              <w:wordWrap/>
              <w:overflowPunct/>
              <w:topLinePunct w:val="0"/>
              <w:autoSpaceDE/>
              <w:autoSpaceDN/>
              <w:bidi w:val="0"/>
              <w:adjustRightInd/>
              <w:snapToGrid/>
              <w:spacing w:line="360" w:lineRule="exact"/>
              <w:ind w:left="3"/>
              <w:textAlignment w:val="auto"/>
              <w:rPr>
                <w:rFonts w:hint="eastAsia" w:ascii="仿宋" w:hAnsi="仿宋" w:eastAsia="仿宋" w:cs="仿宋"/>
                <w:spacing w:val="-9"/>
                <w:sz w:val="21"/>
                <w:szCs w:val="21"/>
                <w:lang w:eastAsia="zh-CN"/>
              </w:rPr>
            </w:pPr>
            <w:r>
              <w:rPr>
                <w:rFonts w:hint="eastAsia" w:ascii="仿宋" w:hAnsi="仿宋" w:eastAsia="仿宋" w:cs="仿宋"/>
                <w:spacing w:val="-9"/>
                <w:sz w:val="21"/>
                <w:szCs w:val="21"/>
                <w:lang w:eastAsia="zh-CN"/>
              </w:rPr>
              <w:t>提供技术专线服务，以电话、即时通讯、电子邮件的方式为校内用户提供技术支持服务；</w:t>
            </w:r>
          </w:p>
          <w:p w14:paraId="21F5BDCA">
            <w:pPr>
              <w:pStyle w:val="14"/>
              <w:keepNext w:val="0"/>
              <w:keepLines w:val="0"/>
              <w:pageBreakBefore w:val="0"/>
              <w:widowControl w:val="0"/>
              <w:kinsoku/>
              <w:wordWrap/>
              <w:overflowPunct/>
              <w:topLinePunct w:val="0"/>
              <w:autoSpaceDE/>
              <w:autoSpaceDN/>
              <w:bidi w:val="0"/>
              <w:adjustRightInd/>
              <w:snapToGrid/>
              <w:spacing w:line="360" w:lineRule="exact"/>
              <w:ind w:left="3"/>
              <w:textAlignment w:val="auto"/>
              <w:rPr>
                <w:rFonts w:hint="eastAsia" w:ascii="仿宋" w:hAnsi="仿宋" w:eastAsia="仿宋" w:cs="仿宋"/>
                <w:spacing w:val="-9"/>
                <w:sz w:val="21"/>
                <w:szCs w:val="21"/>
                <w:lang w:eastAsia="zh-CN"/>
              </w:rPr>
            </w:pPr>
            <w:r>
              <w:rPr>
                <w:rFonts w:hint="eastAsia" w:ascii="仿宋" w:hAnsi="仿宋" w:eastAsia="仿宋" w:cs="仿宋"/>
                <w:spacing w:val="-9"/>
                <w:sz w:val="21"/>
                <w:szCs w:val="21"/>
                <w:lang w:eastAsia="zh-CN"/>
              </w:rPr>
              <w:t>服务需要做到即时响应，问题解决时间不得超过24小时。</w:t>
            </w:r>
          </w:p>
          <w:p w14:paraId="64BB6DAB">
            <w:pPr>
              <w:keepNext w:val="0"/>
              <w:keepLines w:val="0"/>
              <w:widowControl/>
              <w:suppressLineNumbers w:val="0"/>
              <w:jc w:val="left"/>
              <w:rPr>
                <w:rFonts w:hint="eastAsia" w:ascii="仿宋" w:hAnsi="仿宋" w:eastAsia="仿宋" w:cs="仿宋"/>
                <w:spacing w:val="-9"/>
                <w:kern w:val="0"/>
                <w:sz w:val="21"/>
                <w:szCs w:val="21"/>
                <w:lang w:val="en-US" w:eastAsia="zh-CN" w:bidi="ar-SA"/>
              </w:rPr>
            </w:pPr>
            <w:r>
              <w:rPr>
                <w:rFonts w:hint="eastAsia" w:ascii="仿宋" w:hAnsi="仿宋" w:eastAsia="仿宋" w:cs="仿宋"/>
                <w:b/>
                <w:bCs/>
                <w:spacing w:val="-9"/>
                <w:sz w:val="21"/>
                <w:szCs w:val="21"/>
                <w:lang w:val="en-US" w:eastAsia="zh-CN"/>
              </w:rPr>
              <w:t>并提供售后服务承诺函并加盖</w:t>
            </w:r>
            <w:r>
              <w:rPr>
                <w:rFonts w:hint="default" w:ascii="仿宋" w:hAnsi="仿宋" w:eastAsia="仿宋" w:cs="仿宋"/>
                <w:b/>
                <w:bCs/>
                <w:color w:val="000000"/>
                <w:kern w:val="2"/>
                <w:sz w:val="21"/>
                <w:szCs w:val="21"/>
                <w:lang w:val="en-US" w:eastAsia="zh-CN" w:bidi="ar"/>
              </w:rPr>
              <w:t>供应商公章</w:t>
            </w:r>
            <w:r>
              <w:rPr>
                <w:rFonts w:hint="default" w:ascii="仿宋" w:hAnsi="仿宋" w:eastAsia="仿宋" w:cs="仿宋"/>
                <w:b/>
                <w:bCs/>
                <w:spacing w:val="-9"/>
                <w:kern w:val="2"/>
                <w:sz w:val="21"/>
                <w:szCs w:val="21"/>
                <w:lang w:val="en-US" w:eastAsia="zh-CN" w:bidi="ar"/>
              </w:rPr>
              <w:t>。</w:t>
            </w:r>
          </w:p>
        </w:tc>
      </w:tr>
      <w:tr w14:paraId="6C51D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tcPr>
          <w:p w14:paraId="44E1E566">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tcPr>
          <w:p w14:paraId="4EBAA1EA">
            <w:pPr>
              <w:pStyle w:val="14"/>
              <w:spacing w:line="360" w:lineRule="atLeast"/>
              <w:rPr>
                <w:rFonts w:hint="eastAsia" w:ascii="仿宋" w:hAnsi="仿宋" w:eastAsia="仿宋" w:cs="仿宋"/>
                <w:bCs/>
                <w:sz w:val="21"/>
                <w:szCs w:val="21"/>
                <w:highlight w:val="none"/>
              </w:rPr>
            </w:pPr>
          </w:p>
        </w:tc>
        <w:tc>
          <w:tcPr>
            <w:tcW w:w="3839" w:type="pct"/>
            <w:shd w:val="clear" w:color="auto" w:fill="auto"/>
            <w:vAlign w:val="center"/>
          </w:tcPr>
          <w:p w14:paraId="4E88C62F">
            <w:pPr>
              <w:keepNext w:val="0"/>
              <w:keepLines w:val="0"/>
              <w:widowControl/>
              <w:suppressLineNumbers w:val="0"/>
              <w:jc w:val="left"/>
              <w:rPr>
                <w:rFonts w:hint="eastAsia" w:ascii="仿宋" w:hAnsi="仿宋" w:eastAsia="仿宋" w:cs="仿宋"/>
                <w:spacing w:val="-9"/>
                <w:kern w:val="0"/>
                <w:sz w:val="21"/>
                <w:szCs w:val="21"/>
                <w:lang w:val="en-US" w:eastAsia="zh-CN" w:bidi="ar-SA"/>
              </w:rPr>
            </w:pPr>
            <w:r>
              <w:rPr>
                <w:rFonts w:hint="eastAsia" w:ascii="仿宋" w:hAnsi="仿宋" w:eastAsia="仿宋" w:cs="仿宋"/>
                <w:spacing w:val="-9"/>
                <w:sz w:val="21"/>
                <w:szCs w:val="21"/>
                <w:lang w:eastAsia="zh-CN"/>
              </w:rPr>
              <w:t>▲授权有效期内提供</w:t>
            </w:r>
            <w:r>
              <w:rPr>
                <w:rFonts w:hint="eastAsia" w:ascii="仿宋" w:hAnsi="仿宋" w:eastAsia="仿宋" w:cs="仿宋"/>
                <w:spacing w:val="-9"/>
                <w:sz w:val="21"/>
                <w:szCs w:val="21"/>
                <w:lang w:val="en-US" w:eastAsia="zh-CN"/>
              </w:rPr>
              <w:t>不少于2</w:t>
            </w:r>
            <w:r>
              <w:rPr>
                <w:rFonts w:hint="eastAsia" w:ascii="仿宋" w:hAnsi="仿宋" w:eastAsia="仿宋" w:cs="仿宋"/>
                <w:spacing w:val="-9"/>
                <w:sz w:val="21"/>
                <w:szCs w:val="21"/>
                <w:lang w:eastAsia="zh-CN"/>
              </w:rPr>
              <w:t>次正版办公软件及管理平台使用的专项培训。</w:t>
            </w:r>
            <w:r>
              <w:rPr>
                <w:rFonts w:hint="eastAsia" w:ascii="仿宋" w:hAnsi="仿宋" w:eastAsia="仿宋" w:cs="仿宋"/>
                <w:b/>
                <w:bCs/>
                <w:spacing w:val="-9"/>
                <w:sz w:val="21"/>
                <w:szCs w:val="21"/>
                <w:lang w:val="en-US" w:eastAsia="zh-CN"/>
              </w:rPr>
              <w:t>提供承诺函并加盖</w:t>
            </w:r>
            <w:r>
              <w:rPr>
                <w:rFonts w:hint="default" w:ascii="仿宋" w:hAnsi="仿宋" w:eastAsia="仿宋" w:cs="仿宋"/>
                <w:b/>
                <w:bCs/>
                <w:color w:val="000000"/>
                <w:kern w:val="2"/>
                <w:sz w:val="21"/>
                <w:szCs w:val="21"/>
                <w:lang w:val="en-US" w:eastAsia="zh-CN" w:bidi="ar"/>
              </w:rPr>
              <w:t>供应商公章</w:t>
            </w:r>
            <w:r>
              <w:rPr>
                <w:rFonts w:hint="default" w:ascii="仿宋" w:hAnsi="仿宋" w:eastAsia="仿宋" w:cs="仿宋"/>
                <w:b/>
                <w:bCs/>
                <w:spacing w:val="-9"/>
                <w:kern w:val="2"/>
                <w:sz w:val="21"/>
                <w:szCs w:val="21"/>
                <w:lang w:val="en-US" w:eastAsia="zh-CN" w:bidi="ar"/>
              </w:rPr>
              <w:t>。</w:t>
            </w:r>
          </w:p>
        </w:tc>
      </w:tr>
      <w:tr w14:paraId="17BB8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tcPr>
          <w:p w14:paraId="3EEEAE51">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tcPr>
          <w:p w14:paraId="620A5BEB">
            <w:pPr>
              <w:pStyle w:val="14"/>
              <w:spacing w:line="360" w:lineRule="atLeast"/>
              <w:rPr>
                <w:rFonts w:hint="eastAsia" w:ascii="仿宋" w:hAnsi="仿宋" w:eastAsia="仿宋" w:cs="仿宋"/>
                <w:bCs/>
                <w:sz w:val="21"/>
                <w:szCs w:val="21"/>
                <w:highlight w:val="none"/>
              </w:rPr>
            </w:pPr>
          </w:p>
        </w:tc>
        <w:tc>
          <w:tcPr>
            <w:tcW w:w="3839" w:type="pct"/>
            <w:shd w:val="clear" w:color="auto" w:fill="auto"/>
            <w:vAlign w:val="center"/>
          </w:tcPr>
          <w:p w14:paraId="1146587A">
            <w:pPr>
              <w:pStyle w:val="14"/>
              <w:keepNext w:val="0"/>
              <w:keepLines w:val="0"/>
              <w:pageBreakBefore w:val="0"/>
              <w:widowControl w:val="0"/>
              <w:kinsoku/>
              <w:wordWrap/>
              <w:overflowPunct/>
              <w:topLinePunct w:val="0"/>
              <w:autoSpaceDE/>
              <w:autoSpaceDN/>
              <w:bidi w:val="0"/>
              <w:adjustRightInd/>
              <w:snapToGrid/>
              <w:spacing w:line="360" w:lineRule="exact"/>
              <w:ind w:left="3" w:leftChars="0"/>
              <w:textAlignment w:val="auto"/>
              <w:rPr>
                <w:rFonts w:hint="eastAsia" w:ascii="仿宋" w:hAnsi="仿宋" w:eastAsia="仿宋" w:cs="仿宋"/>
                <w:spacing w:val="-9"/>
                <w:kern w:val="0"/>
                <w:sz w:val="21"/>
                <w:szCs w:val="21"/>
                <w:lang w:val="en-US" w:eastAsia="zh-CN" w:bidi="ar-SA"/>
              </w:rPr>
            </w:pPr>
            <w:r>
              <w:rPr>
                <w:rFonts w:hint="eastAsia" w:ascii="仿宋" w:hAnsi="仿宋" w:eastAsia="仿宋" w:cs="仿宋"/>
                <w:spacing w:val="-9"/>
                <w:sz w:val="21"/>
                <w:szCs w:val="21"/>
                <w:lang w:eastAsia="zh-CN"/>
              </w:rPr>
              <w:t>配合学校以专题培训、</w:t>
            </w:r>
            <w:r>
              <w:rPr>
                <w:rFonts w:hint="eastAsia" w:ascii="仿宋" w:hAnsi="仿宋" w:eastAsia="仿宋" w:cs="仿宋"/>
                <w:spacing w:val="-9"/>
                <w:sz w:val="21"/>
                <w:szCs w:val="21"/>
                <w:lang w:val="en-US" w:eastAsia="zh-CN"/>
              </w:rPr>
              <w:t>正版化</w:t>
            </w:r>
            <w:r>
              <w:rPr>
                <w:rFonts w:hint="eastAsia" w:ascii="仿宋" w:hAnsi="仿宋" w:eastAsia="仿宋" w:cs="仿宋"/>
                <w:spacing w:val="-9"/>
                <w:sz w:val="21"/>
                <w:szCs w:val="21"/>
                <w:lang w:eastAsia="zh-CN"/>
              </w:rPr>
              <w:t>主题活动等形式每学期定期开展软件正版化培训工作。利用展板、标语、海报、宣传册等形式在校园常态化宣传软件正版化意义及要求，提升全校师生知识产权意识。</w:t>
            </w:r>
          </w:p>
        </w:tc>
      </w:tr>
      <w:tr w14:paraId="0B39C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tcPr>
          <w:p w14:paraId="71374D42">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tcPr>
          <w:p w14:paraId="69BE6420">
            <w:pPr>
              <w:pStyle w:val="14"/>
              <w:spacing w:line="360" w:lineRule="atLeast"/>
              <w:rPr>
                <w:rFonts w:hint="eastAsia" w:ascii="仿宋" w:hAnsi="仿宋" w:eastAsia="仿宋" w:cs="仿宋"/>
                <w:bCs/>
                <w:sz w:val="21"/>
                <w:szCs w:val="21"/>
                <w:highlight w:val="none"/>
              </w:rPr>
            </w:pPr>
          </w:p>
        </w:tc>
        <w:tc>
          <w:tcPr>
            <w:tcW w:w="3839" w:type="pct"/>
            <w:shd w:val="clear" w:color="auto" w:fill="auto"/>
            <w:vAlign w:val="center"/>
          </w:tcPr>
          <w:p w14:paraId="109F45CA">
            <w:pPr>
              <w:rPr>
                <w:rFonts w:hint="eastAsia" w:ascii="仿宋" w:hAnsi="仿宋" w:eastAsia="仿宋" w:cs="仿宋"/>
                <w:spacing w:val="-13"/>
                <w:kern w:val="2"/>
                <w:sz w:val="21"/>
                <w:szCs w:val="21"/>
                <w:lang w:val="en-US" w:eastAsia="zh-CN" w:bidi="ar-SA"/>
              </w:rPr>
            </w:pPr>
            <w:r>
              <w:rPr>
                <w:rFonts w:hint="eastAsia" w:ascii="仿宋" w:hAnsi="仿宋" w:eastAsia="仿宋" w:cs="仿宋"/>
                <w:color w:val="000000" w:themeColor="text1"/>
                <w:sz w:val="21"/>
                <w:szCs w:val="21"/>
                <w:highlight w:val="none"/>
                <w14:textFill>
                  <w14:solidFill>
                    <w14:schemeClr w14:val="tx1"/>
                  </w14:solidFill>
                </w14:textFill>
              </w:rPr>
              <w:t>帮助文档。服务平台应当提供一套包括操作系统和办公软件在使用过程中的常见问题解决方案、激活常见问题处理方案的帮助文档。</w:t>
            </w:r>
          </w:p>
        </w:tc>
      </w:tr>
      <w:tr w14:paraId="18CFC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jc w:val="center"/>
        </w:trPr>
        <w:tc>
          <w:tcPr>
            <w:tcW w:w="532" w:type="pct"/>
            <w:vMerge w:val="continue"/>
          </w:tcPr>
          <w:p w14:paraId="7713ABCE">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tcPr>
          <w:p w14:paraId="48E161F7">
            <w:pPr>
              <w:pStyle w:val="14"/>
              <w:spacing w:line="360" w:lineRule="atLeast"/>
              <w:rPr>
                <w:rFonts w:hint="eastAsia" w:ascii="仿宋" w:hAnsi="仿宋" w:eastAsia="仿宋" w:cs="仿宋"/>
                <w:bCs/>
                <w:sz w:val="21"/>
                <w:szCs w:val="21"/>
                <w:highlight w:val="none"/>
              </w:rPr>
            </w:pPr>
          </w:p>
        </w:tc>
        <w:tc>
          <w:tcPr>
            <w:tcW w:w="3839" w:type="pct"/>
            <w:shd w:val="clear" w:color="auto" w:fill="auto"/>
            <w:vAlign w:val="center"/>
          </w:tcPr>
          <w:p w14:paraId="7C22B9A5">
            <w:pPr>
              <w:rPr>
                <w:rFonts w:hint="eastAsia" w:ascii="仿宋" w:hAnsi="仿宋" w:eastAsia="仿宋" w:cs="仿宋"/>
                <w:spacing w:val="-13"/>
                <w:kern w:val="2"/>
                <w:sz w:val="21"/>
                <w:szCs w:val="21"/>
                <w:lang w:val="en-US" w:eastAsia="zh-CN" w:bidi="ar-SA"/>
              </w:rPr>
            </w:pPr>
            <w:r>
              <w:rPr>
                <w:rFonts w:hint="eastAsia" w:ascii="仿宋" w:hAnsi="仿宋" w:eastAsia="仿宋" w:cs="仿宋"/>
                <w:color w:val="000000" w:themeColor="text1"/>
                <w:sz w:val="21"/>
                <w:szCs w:val="21"/>
                <w:highlight w:val="none"/>
                <w14:textFill>
                  <w14:solidFill>
                    <w14:schemeClr w14:val="tx1"/>
                  </w14:solidFill>
                </w14:textFill>
              </w:rPr>
              <w:t>安装教程。服务平台应当提供一套办公软件的安装视频</w:t>
            </w:r>
            <w:r>
              <w:rPr>
                <w:rFonts w:hint="eastAsia" w:ascii="仿宋" w:hAnsi="仿宋" w:eastAsia="仿宋" w:cs="仿宋"/>
                <w:color w:val="000000" w:themeColor="text1"/>
                <w:sz w:val="21"/>
                <w:szCs w:val="21"/>
                <w:highlight w:val="none"/>
                <w:lang w:val="en-US" w:eastAsia="zh-CN"/>
                <w14:textFill>
                  <w14:solidFill>
                    <w14:schemeClr w14:val="tx1"/>
                  </w14:solidFill>
                </w14:textFill>
              </w:rPr>
              <w:t>或</w:t>
            </w:r>
            <w:r>
              <w:rPr>
                <w:rFonts w:hint="eastAsia" w:ascii="仿宋" w:hAnsi="仿宋" w:eastAsia="仿宋" w:cs="仿宋"/>
                <w:color w:val="000000" w:themeColor="text1"/>
                <w:sz w:val="21"/>
                <w:szCs w:val="21"/>
                <w:highlight w:val="none"/>
                <w14:textFill>
                  <w14:solidFill>
                    <w14:schemeClr w14:val="tx1"/>
                  </w14:solidFill>
                </w14:textFill>
              </w:rPr>
              <w:t>文档的详细教程。</w:t>
            </w:r>
          </w:p>
        </w:tc>
      </w:tr>
      <w:tr w14:paraId="132E7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jc w:val="center"/>
        </w:trPr>
        <w:tc>
          <w:tcPr>
            <w:tcW w:w="532" w:type="pct"/>
            <w:vMerge w:val="continue"/>
          </w:tcPr>
          <w:p w14:paraId="532A091E">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tcPr>
          <w:p w14:paraId="02175DDB">
            <w:pPr>
              <w:pStyle w:val="14"/>
              <w:spacing w:line="360" w:lineRule="atLeast"/>
              <w:rPr>
                <w:rFonts w:hint="eastAsia" w:ascii="仿宋" w:hAnsi="仿宋" w:eastAsia="仿宋" w:cs="仿宋"/>
                <w:bCs/>
                <w:sz w:val="21"/>
                <w:szCs w:val="21"/>
                <w:highlight w:val="none"/>
              </w:rPr>
            </w:pPr>
          </w:p>
        </w:tc>
        <w:tc>
          <w:tcPr>
            <w:tcW w:w="3839" w:type="pct"/>
            <w:shd w:val="clear" w:color="auto" w:fill="auto"/>
            <w:vAlign w:val="center"/>
          </w:tcPr>
          <w:p w14:paraId="2970B88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kern w:val="2"/>
                <w:sz w:val="21"/>
                <w:szCs w:val="21"/>
                <w:lang w:val="en-US" w:eastAsia="zh-CN" w:bidi="ar-SA"/>
              </w:rPr>
            </w:pPr>
            <w:r>
              <w:rPr>
                <w:rFonts w:hint="eastAsia" w:ascii="仿宋" w:hAnsi="仿宋" w:eastAsia="仿宋" w:cs="仿宋"/>
                <w:sz w:val="21"/>
                <w:szCs w:val="21"/>
              </w:rPr>
              <w:t>授权有效期内</w:t>
            </w:r>
            <w:r>
              <w:rPr>
                <w:rFonts w:hint="eastAsia" w:ascii="仿宋" w:hAnsi="仿宋" w:eastAsia="仿宋" w:cs="仿宋"/>
                <w:sz w:val="21"/>
                <w:szCs w:val="21"/>
                <w:lang w:val="en-US" w:eastAsia="zh-CN"/>
              </w:rPr>
              <w:t>提供版权检查支持服务。</w:t>
            </w:r>
          </w:p>
        </w:tc>
      </w:tr>
      <w:tr w14:paraId="1B07AF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tcPr>
          <w:p w14:paraId="71EEDB09">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tcPr>
          <w:p w14:paraId="0E102402">
            <w:pPr>
              <w:pStyle w:val="14"/>
              <w:spacing w:line="360" w:lineRule="atLeast"/>
              <w:rPr>
                <w:rFonts w:hint="eastAsia" w:ascii="仿宋" w:hAnsi="仿宋" w:eastAsia="仿宋" w:cs="仿宋"/>
                <w:bCs/>
                <w:sz w:val="21"/>
                <w:szCs w:val="21"/>
                <w:highlight w:val="none"/>
              </w:rPr>
            </w:pPr>
          </w:p>
        </w:tc>
        <w:tc>
          <w:tcPr>
            <w:tcW w:w="3839" w:type="pct"/>
            <w:shd w:val="clear" w:color="auto" w:fill="auto"/>
            <w:vAlign w:val="center"/>
          </w:tcPr>
          <w:p w14:paraId="557ED2A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kern w:val="2"/>
                <w:sz w:val="21"/>
                <w:szCs w:val="21"/>
                <w:lang w:val="en-US" w:eastAsia="zh-CN" w:bidi="ar-SA"/>
              </w:rPr>
            </w:pPr>
            <w:r>
              <w:rPr>
                <w:rFonts w:hint="eastAsia" w:ascii="仿宋" w:hAnsi="仿宋" w:eastAsia="仿宋" w:cs="仿宋"/>
                <w:b w:val="0"/>
                <w:bCs/>
                <w:color w:val="auto"/>
                <w:sz w:val="21"/>
                <w:szCs w:val="21"/>
              </w:rPr>
              <w:t>▲</w:t>
            </w:r>
            <w:r>
              <w:rPr>
                <w:rFonts w:hint="eastAsia" w:ascii="仿宋" w:hAnsi="仿宋" w:eastAsia="仿宋" w:cs="仿宋"/>
                <w:sz w:val="21"/>
                <w:szCs w:val="21"/>
                <w:lang w:val="en-US" w:eastAsia="zh-CN"/>
              </w:rPr>
              <w:t>提供本校符合湖北省版权检查政策的相关文件，须包含详尽合理的检查文件模板、制度文件模板、软件采购计划表、软件正版化工作信息统计表、软件使用情况汇总表、软件使用情况明细表、软件安装维护情况明细表等。</w:t>
            </w:r>
            <w:r>
              <w:rPr>
                <w:rFonts w:hint="eastAsia" w:ascii="仿宋" w:hAnsi="仿宋" w:eastAsia="仿宋" w:cs="仿宋"/>
                <w:b/>
                <w:bCs/>
                <w:color w:val="000000" w:themeColor="text1"/>
                <w:kern w:val="2"/>
                <w:sz w:val="21"/>
                <w:szCs w:val="21"/>
                <w:lang w:val="en-US" w:eastAsia="zh-CN" w:bidi="ar-SA"/>
                <w14:textFill>
                  <w14:solidFill>
                    <w14:schemeClr w14:val="tx1"/>
                  </w14:solidFill>
                </w14:textFill>
              </w:rPr>
              <w:t>提供有效证明文件或者截图进行证明并加盖供应商公章。</w:t>
            </w:r>
          </w:p>
        </w:tc>
      </w:tr>
      <w:tr w14:paraId="5FE06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jc w:val="center"/>
        </w:trPr>
        <w:tc>
          <w:tcPr>
            <w:tcW w:w="532" w:type="pct"/>
            <w:vMerge w:val="continue"/>
          </w:tcPr>
          <w:p w14:paraId="1D4DA75C">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tcPr>
          <w:p w14:paraId="0AB5B353">
            <w:pPr>
              <w:pStyle w:val="14"/>
              <w:spacing w:line="360" w:lineRule="atLeast"/>
              <w:rPr>
                <w:rFonts w:hint="eastAsia" w:ascii="仿宋" w:hAnsi="仿宋" w:eastAsia="仿宋" w:cs="仿宋"/>
                <w:bCs/>
                <w:sz w:val="21"/>
                <w:szCs w:val="21"/>
                <w:highlight w:val="none"/>
              </w:rPr>
            </w:pPr>
          </w:p>
        </w:tc>
        <w:tc>
          <w:tcPr>
            <w:tcW w:w="3839" w:type="pct"/>
            <w:shd w:val="clear" w:color="auto" w:fill="auto"/>
            <w:vAlign w:val="center"/>
          </w:tcPr>
          <w:p w14:paraId="303F0FB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平台填报：根据当地或国家的相关要求，协助学校在正版软件数据管理平台上进行填报，管理员可以通过下发填报列表的链接给学校各部门，收集近三年正版化情况表和学校在用软件自查摸底情况表的填报信息。</w:t>
            </w:r>
          </w:p>
        </w:tc>
      </w:tr>
      <w:tr w14:paraId="73E5B8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jc w:val="center"/>
        </w:trPr>
        <w:tc>
          <w:tcPr>
            <w:tcW w:w="532" w:type="pct"/>
            <w:vMerge w:val="continue"/>
          </w:tcPr>
          <w:p w14:paraId="580130EB">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tcPr>
          <w:p w14:paraId="5D3C50AE">
            <w:pPr>
              <w:pStyle w:val="14"/>
              <w:spacing w:line="360" w:lineRule="atLeast"/>
              <w:rPr>
                <w:rFonts w:hint="eastAsia" w:ascii="仿宋" w:hAnsi="仿宋" w:eastAsia="仿宋" w:cs="仿宋"/>
                <w:bCs/>
                <w:sz w:val="21"/>
                <w:szCs w:val="21"/>
                <w:highlight w:val="none"/>
              </w:rPr>
            </w:pPr>
          </w:p>
        </w:tc>
        <w:tc>
          <w:tcPr>
            <w:tcW w:w="3839" w:type="pct"/>
            <w:shd w:val="clear" w:color="auto" w:fill="auto"/>
            <w:vAlign w:val="center"/>
          </w:tcPr>
          <w:p w14:paraId="4716559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在接收到检查通知后，协助学校做好检查资料和平台填报数据的准备。</w:t>
            </w:r>
          </w:p>
        </w:tc>
      </w:tr>
      <w:tr w14:paraId="7F688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jc w:val="center"/>
        </w:trPr>
        <w:tc>
          <w:tcPr>
            <w:tcW w:w="532" w:type="pct"/>
            <w:vMerge w:val="continue"/>
          </w:tcPr>
          <w:p w14:paraId="1EB876A3">
            <w:pPr>
              <w:pStyle w:val="14"/>
              <w:spacing w:line="360" w:lineRule="atLeast"/>
              <w:rPr>
                <w:rFonts w:hint="eastAsia" w:ascii="仿宋" w:hAnsi="仿宋" w:eastAsia="仿宋" w:cs="仿宋"/>
                <w:bCs/>
                <w:sz w:val="21"/>
                <w:szCs w:val="21"/>
                <w:highlight w:val="none"/>
                <w:lang w:eastAsia="zh-CN"/>
              </w:rPr>
            </w:pPr>
          </w:p>
        </w:tc>
        <w:tc>
          <w:tcPr>
            <w:tcW w:w="628" w:type="pct"/>
            <w:vMerge w:val="continue"/>
            <w:tcBorders>
              <w:left w:val="single" w:color="auto" w:sz="4" w:space="0"/>
              <w:right w:val="single" w:color="auto" w:sz="4" w:space="0"/>
            </w:tcBorders>
          </w:tcPr>
          <w:p w14:paraId="351FE81C">
            <w:pPr>
              <w:pStyle w:val="14"/>
              <w:spacing w:line="360" w:lineRule="atLeast"/>
              <w:rPr>
                <w:rFonts w:hint="eastAsia" w:ascii="仿宋" w:hAnsi="仿宋" w:eastAsia="仿宋" w:cs="仿宋"/>
                <w:bCs/>
                <w:sz w:val="21"/>
                <w:szCs w:val="21"/>
                <w:highlight w:val="none"/>
              </w:rPr>
            </w:pPr>
          </w:p>
        </w:tc>
        <w:tc>
          <w:tcPr>
            <w:tcW w:w="3839" w:type="pct"/>
            <w:shd w:val="clear" w:color="auto" w:fill="auto"/>
            <w:vAlign w:val="center"/>
          </w:tcPr>
          <w:p w14:paraId="13EF565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kern w:val="2"/>
                <w:sz w:val="21"/>
                <w:szCs w:val="21"/>
                <w:lang w:val="en-US" w:eastAsia="zh-CN" w:bidi="ar-SA"/>
              </w:rPr>
            </w:pPr>
            <w:r>
              <w:rPr>
                <w:rFonts w:hint="eastAsia" w:ascii="仿宋" w:hAnsi="仿宋" w:eastAsia="仿宋" w:cs="仿宋"/>
                <w:sz w:val="21"/>
                <w:szCs w:val="21"/>
                <w:lang w:val="en-US" w:eastAsia="zh-CN"/>
              </w:rPr>
              <w:t>版权检查期间，提供不少于1名支持人员配合学校接受版权检查。</w:t>
            </w:r>
          </w:p>
        </w:tc>
      </w:tr>
    </w:tbl>
    <w:p w14:paraId="0054DD02">
      <w:pPr>
        <w:rPr>
          <w:rFonts w:hint="eastAsia" w:ascii="仿宋" w:hAnsi="仿宋" w:eastAsia="仿宋" w:cs="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1D2082"/>
    <w:multiLevelType w:val="singleLevel"/>
    <w:tmpl w:val="B81D2082"/>
    <w:lvl w:ilvl="0" w:tentative="0">
      <w:start w:val="1"/>
      <w:numFmt w:val="decimal"/>
      <w:lvlText w:val="%1)"/>
      <w:lvlJc w:val="left"/>
      <w:pPr>
        <w:ind w:left="635" w:hanging="425"/>
      </w:pPr>
      <w:rPr>
        <w:rFonts w:hint="default"/>
      </w:rPr>
    </w:lvl>
  </w:abstractNum>
  <w:abstractNum w:abstractNumId="1">
    <w:nsid w:val="C6F7779D"/>
    <w:multiLevelType w:val="singleLevel"/>
    <w:tmpl w:val="C6F7779D"/>
    <w:lvl w:ilvl="0" w:tentative="0">
      <w:start w:val="1"/>
      <w:numFmt w:val="decimal"/>
      <w:lvlText w:val="%1)"/>
      <w:lvlJc w:val="left"/>
      <w:pPr>
        <w:ind w:left="635" w:hanging="425"/>
      </w:pPr>
      <w:rPr>
        <w:rFonts w:hint="default"/>
        <w:b w:val="0"/>
        <w:bCs w:val="0"/>
      </w:rPr>
    </w:lvl>
  </w:abstractNum>
  <w:abstractNum w:abstractNumId="2">
    <w:nsid w:val="DFB472EE"/>
    <w:multiLevelType w:val="singleLevel"/>
    <w:tmpl w:val="DFB472EE"/>
    <w:lvl w:ilvl="0" w:tentative="0">
      <w:start w:val="1"/>
      <w:numFmt w:val="decimalEnclosedCircleChinese"/>
      <w:suff w:val="nothing"/>
      <w:lvlText w:val="%1　"/>
      <w:lvlJc w:val="left"/>
      <w:pPr>
        <w:ind w:left="0" w:firstLine="400"/>
      </w:pPr>
      <w:rPr>
        <w:rFonts w:hint="eastAsia"/>
      </w:rPr>
    </w:lvl>
  </w:abstractNum>
  <w:abstractNum w:abstractNumId="3">
    <w:nsid w:val="ECD8228B"/>
    <w:multiLevelType w:val="singleLevel"/>
    <w:tmpl w:val="ECD8228B"/>
    <w:lvl w:ilvl="0" w:tentative="0">
      <w:start w:val="1"/>
      <w:numFmt w:val="decimal"/>
      <w:lvlText w:val="%1)"/>
      <w:lvlJc w:val="left"/>
      <w:pPr>
        <w:ind w:left="635" w:hanging="425"/>
      </w:pPr>
      <w:rPr>
        <w:rFonts w:hint="default"/>
        <w:b w:val="0"/>
        <w:bCs w:val="0"/>
      </w:rPr>
    </w:lvl>
  </w:abstractNum>
  <w:abstractNum w:abstractNumId="4">
    <w:nsid w:val="50F53FB6"/>
    <w:multiLevelType w:val="singleLevel"/>
    <w:tmpl w:val="50F53FB6"/>
    <w:lvl w:ilvl="0" w:tentative="0">
      <w:start w:val="1"/>
      <w:numFmt w:val="decimal"/>
      <w:lvlText w:val="%1)"/>
      <w:lvlJc w:val="left"/>
      <w:pPr>
        <w:ind w:left="635" w:hanging="425"/>
      </w:pPr>
      <w:rPr>
        <w:rFonts w:hint="default"/>
      </w:rPr>
    </w:lvl>
  </w:abstractNum>
  <w:abstractNum w:abstractNumId="5">
    <w:nsid w:val="5188B4DB"/>
    <w:multiLevelType w:val="singleLevel"/>
    <w:tmpl w:val="5188B4DB"/>
    <w:lvl w:ilvl="0" w:tentative="0">
      <w:start w:val="1"/>
      <w:numFmt w:val="decimal"/>
      <w:lvlText w:val="%1)"/>
      <w:lvlJc w:val="left"/>
      <w:pPr>
        <w:ind w:left="635" w:hanging="425"/>
      </w:pPr>
      <w:rPr>
        <w:rFonts w:hint="default"/>
        <w:b w:val="0"/>
        <w:bCs w:val="0"/>
      </w:rPr>
    </w:lvl>
  </w:abstractNum>
  <w:abstractNum w:abstractNumId="6">
    <w:nsid w:val="61BF4D6E"/>
    <w:multiLevelType w:val="singleLevel"/>
    <w:tmpl w:val="61BF4D6E"/>
    <w:lvl w:ilvl="0" w:tentative="0">
      <w:start w:val="1"/>
      <w:numFmt w:val="decimal"/>
      <w:lvlText w:val="(%1)"/>
      <w:lvlJc w:val="left"/>
      <w:pPr>
        <w:ind w:left="425" w:hanging="425"/>
      </w:pPr>
      <w:rPr>
        <w:rFonts w:hint="default"/>
      </w:rPr>
    </w:lvl>
  </w:abstractNum>
  <w:abstractNum w:abstractNumId="7">
    <w:nsid w:val="7F9E41F2"/>
    <w:multiLevelType w:val="singleLevel"/>
    <w:tmpl w:val="7F9E41F2"/>
    <w:lvl w:ilvl="0" w:tentative="0">
      <w:start w:val="1"/>
      <w:numFmt w:val="decimalEnclosedCircleChinese"/>
      <w:suff w:val="nothing"/>
      <w:lvlText w:val="%1　"/>
      <w:lvlJc w:val="left"/>
      <w:pPr>
        <w:ind w:left="-60" w:firstLine="400"/>
      </w:pPr>
      <w:rPr>
        <w:rFonts w:hint="eastAsia"/>
      </w:rPr>
    </w:lvl>
  </w:abstractNum>
  <w:abstractNum w:abstractNumId="8">
    <w:nsid w:val="7FBF2B2F"/>
    <w:multiLevelType w:val="singleLevel"/>
    <w:tmpl w:val="7FBF2B2F"/>
    <w:lvl w:ilvl="0" w:tentative="0">
      <w:start w:val="1"/>
      <w:numFmt w:val="decimal"/>
      <w:lvlText w:val="%1)"/>
      <w:lvlJc w:val="left"/>
      <w:pPr>
        <w:ind w:left="425" w:hanging="425"/>
      </w:pPr>
      <w:rPr>
        <w:rFonts w:hint="default"/>
      </w:rPr>
    </w:lvl>
  </w:abstractNum>
  <w:num w:numId="1">
    <w:abstractNumId w:val="6"/>
  </w:num>
  <w:num w:numId="2">
    <w:abstractNumId w:val="2"/>
  </w:num>
  <w:num w:numId="3">
    <w:abstractNumId w:val="7"/>
  </w:num>
  <w:num w:numId="4">
    <w:abstractNumId w:val="0"/>
  </w:num>
  <w:num w:numId="5">
    <w:abstractNumId w:val="4"/>
  </w:num>
  <w:num w:numId="6">
    <w:abstractNumId w:val="5"/>
  </w:num>
  <w:num w:numId="7">
    <w:abstractNumId w:val="3"/>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FF5014"/>
    <w:rsid w:val="00133387"/>
    <w:rsid w:val="02810A7C"/>
    <w:rsid w:val="04553F6E"/>
    <w:rsid w:val="048C1E0C"/>
    <w:rsid w:val="04B2316F"/>
    <w:rsid w:val="05056D9E"/>
    <w:rsid w:val="062E2CC9"/>
    <w:rsid w:val="06710E08"/>
    <w:rsid w:val="09AB4631"/>
    <w:rsid w:val="0D776B6E"/>
    <w:rsid w:val="0DCD1019"/>
    <w:rsid w:val="0E9C09EC"/>
    <w:rsid w:val="100E0101"/>
    <w:rsid w:val="10507367"/>
    <w:rsid w:val="10973B61"/>
    <w:rsid w:val="10F25B74"/>
    <w:rsid w:val="110E1F50"/>
    <w:rsid w:val="11716160"/>
    <w:rsid w:val="11717F0E"/>
    <w:rsid w:val="12280F14"/>
    <w:rsid w:val="12527D3F"/>
    <w:rsid w:val="15A44D56"/>
    <w:rsid w:val="16421E79"/>
    <w:rsid w:val="168E1562"/>
    <w:rsid w:val="169923E1"/>
    <w:rsid w:val="172275FC"/>
    <w:rsid w:val="17550825"/>
    <w:rsid w:val="17C957B1"/>
    <w:rsid w:val="18FA6A3B"/>
    <w:rsid w:val="19406B43"/>
    <w:rsid w:val="1A255D39"/>
    <w:rsid w:val="1A8213DE"/>
    <w:rsid w:val="1A8A3DEE"/>
    <w:rsid w:val="1B682381"/>
    <w:rsid w:val="1B9F3C67"/>
    <w:rsid w:val="1BB27AA1"/>
    <w:rsid w:val="1C497201"/>
    <w:rsid w:val="1E8B6A70"/>
    <w:rsid w:val="1F811C64"/>
    <w:rsid w:val="22B10AB2"/>
    <w:rsid w:val="23403BE4"/>
    <w:rsid w:val="23C6233B"/>
    <w:rsid w:val="24FFD56A"/>
    <w:rsid w:val="253D662D"/>
    <w:rsid w:val="25407ECB"/>
    <w:rsid w:val="258C4EBE"/>
    <w:rsid w:val="269C5F46"/>
    <w:rsid w:val="27462DDB"/>
    <w:rsid w:val="2BEA56D2"/>
    <w:rsid w:val="2CA174A1"/>
    <w:rsid w:val="2CEA6EDA"/>
    <w:rsid w:val="2DB9984E"/>
    <w:rsid w:val="2FBB4A5D"/>
    <w:rsid w:val="30BDB236"/>
    <w:rsid w:val="3148438F"/>
    <w:rsid w:val="3175714F"/>
    <w:rsid w:val="31D9148B"/>
    <w:rsid w:val="321D581C"/>
    <w:rsid w:val="323D7D75"/>
    <w:rsid w:val="32690A61"/>
    <w:rsid w:val="33072028"/>
    <w:rsid w:val="331B3C9E"/>
    <w:rsid w:val="33596D28"/>
    <w:rsid w:val="34AA5361"/>
    <w:rsid w:val="353F1F4D"/>
    <w:rsid w:val="36251143"/>
    <w:rsid w:val="37F708BD"/>
    <w:rsid w:val="3CD236A7"/>
    <w:rsid w:val="3DC5AF2A"/>
    <w:rsid w:val="3F7FA6ED"/>
    <w:rsid w:val="3FE931E1"/>
    <w:rsid w:val="401A783F"/>
    <w:rsid w:val="405A40DF"/>
    <w:rsid w:val="40A1586A"/>
    <w:rsid w:val="41036525"/>
    <w:rsid w:val="41A5138A"/>
    <w:rsid w:val="41F67E38"/>
    <w:rsid w:val="43065E58"/>
    <w:rsid w:val="43F39556"/>
    <w:rsid w:val="43FB1735"/>
    <w:rsid w:val="445A2900"/>
    <w:rsid w:val="47022DDB"/>
    <w:rsid w:val="477F61D9"/>
    <w:rsid w:val="48311BC9"/>
    <w:rsid w:val="48BA396D"/>
    <w:rsid w:val="49D4280C"/>
    <w:rsid w:val="4A192915"/>
    <w:rsid w:val="4B533C05"/>
    <w:rsid w:val="4B6F6C32"/>
    <w:rsid w:val="4BEBBA90"/>
    <w:rsid w:val="4CB5C41D"/>
    <w:rsid w:val="4D330192"/>
    <w:rsid w:val="4D5F8D3E"/>
    <w:rsid w:val="4DDFB155"/>
    <w:rsid w:val="4F2170AB"/>
    <w:rsid w:val="4F363F69"/>
    <w:rsid w:val="502025E6"/>
    <w:rsid w:val="51644DBE"/>
    <w:rsid w:val="51FF605C"/>
    <w:rsid w:val="52952D55"/>
    <w:rsid w:val="55BE25C3"/>
    <w:rsid w:val="56666EE2"/>
    <w:rsid w:val="58036411"/>
    <w:rsid w:val="588C0756"/>
    <w:rsid w:val="58C12AF6"/>
    <w:rsid w:val="5AFDCA54"/>
    <w:rsid w:val="5C3B233F"/>
    <w:rsid w:val="5CBB7013"/>
    <w:rsid w:val="5D953B1E"/>
    <w:rsid w:val="5DF179D9"/>
    <w:rsid w:val="5DF39C47"/>
    <w:rsid w:val="5E7B54F5"/>
    <w:rsid w:val="5ECB6000"/>
    <w:rsid w:val="5F1E6953"/>
    <w:rsid w:val="5F7FE79A"/>
    <w:rsid w:val="5F816B3B"/>
    <w:rsid w:val="609E54CA"/>
    <w:rsid w:val="61EB0BE3"/>
    <w:rsid w:val="62D6719E"/>
    <w:rsid w:val="62EA0E9B"/>
    <w:rsid w:val="63297D1E"/>
    <w:rsid w:val="6395CE55"/>
    <w:rsid w:val="64FF4D0B"/>
    <w:rsid w:val="65750EF0"/>
    <w:rsid w:val="65D75707"/>
    <w:rsid w:val="66EA0D70"/>
    <w:rsid w:val="67916664"/>
    <w:rsid w:val="67FE9EFE"/>
    <w:rsid w:val="68336E40"/>
    <w:rsid w:val="683E02CC"/>
    <w:rsid w:val="6849391E"/>
    <w:rsid w:val="68923B67"/>
    <w:rsid w:val="6A6FBBDF"/>
    <w:rsid w:val="6D0B213A"/>
    <w:rsid w:val="6E250FD9"/>
    <w:rsid w:val="6ED13F5D"/>
    <w:rsid w:val="6F075F56"/>
    <w:rsid w:val="6F7E8266"/>
    <w:rsid w:val="6FFF3068"/>
    <w:rsid w:val="70C1148D"/>
    <w:rsid w:val="70E321B5"/>
    <w:rsid w:val="72D52FCE"/>
    <w:rsid w:val="73FFB493"/>
    <w:rsid w:val="740A4EF9"/>
    <w:rsid w:val="74D3178F"/>
    <w:rsid w:val="753BF322"/>
    <w:rsid w:val="756D1BE3"/>
    <w:rsid w:val="77CD6969"/>
    <w:rsid w:val="77FED525"/>
    <w:rsid w:val="7A1F18B6"/>
    <w:rsid w:val="7A6D7F90"/>
    <w:rsid w:val="7AE8F234"/>
    <w:rsid w:val="7BA7234E"/>
    <w:rsid w:val="7BFEDAE6"/>
    <w:rsid w:val="7C02295A"/>
    <w:rsid w:val="7C117A24"/>
    <w:rsid w:val="7CF36E72"/>
    <w:rsid w:val="7D38181B"/>
    <w:rsid w:val="7DD5FE11"/>
    <w:rsid w:val="7E7F02BA"/>
    <w:rsid w:val="7EA67F14"/>
    <w:rsid w:val="7EF71578"/>
    <w:rsid w:val="7EFBE3F7"/>
    <w:rsid w:val="7F4079CE"/>
    <w:rsid w:val="7F7324AD"/>
    <w:rsid w:val="7F874847"/>
    <w:rsid w:val="7FDA27F0"/>
    <w:rsid w:val="7FDC3B78"/>
    <w:rsid w:val="7FEFBF60"/>
    <w:rsid w:val="7FF55D0A"/>
    <w:rsid w:val="7FF696BF"/>
    <w:rsid w:val="7FFD6131"/>
    <w:rsid w:val="7FFFADEB"/>
    <w:rsid w:val="9BF70B30"/>
    <w:rsid w:val="AFDFA1C9"/>
    <w:rsid w:val="B895D405"/>
    <w:rsid w:val="BBBF76EC"/>
    <w:rsid w:val="BD9F69E6"/>
    <w:rsid w:val="BF5B438C"/>
    <w:rsid w:val="BF73162F"/>
    <w:rsid w:val="BF7F09AB"/>
    <w:rsid w:val="BFFE21B0"/>
    <w:rsid w:val="D8BB3F60"/>
    <w:rsid w:val="DBF71C0E"/>
    <w:rsid w:val="DEBD4216"/>
    <w:rsid w:val="DED6B998"/>
    <w:rsid w:val="DEFF6807"/>
    <w:rsid w:val="DF7DF63B"/>
    <w:rsid w:val="DFDFB557"/>
    <w:rsid w:val="DFEB1D0B"/>
    <w:rsid w:val="E38E176B"/>
    <w:rsid w:val="E67AB3CA"/>
    <w:rsid w:val="E8EB2642"/>
    <w:rsid w:val="E8FD0802"/>
    <w:rsid w:val="E97FD098"/>
    <w:rsid w:val="EA549466"/>
    <w:rsid w:val="EF7336FE"/>
    <w:rsid w:val="EFD7DCA1"/>
    <w:rsid w:val="EFFEFA96"/>
    <w:rsid w:val="F3BE0568"/>
    <w:rsid w:val="F3FD1473"/>
    <w:rsid w:val="F5B7130C"/>
    <w:rsid w:val="F62F316C"/>
    <w:rsid w:val="F7CF2BFB"/>
    <w:rsid w:val="F7F7B0E6"/>
    <w:rsid w:val="FD76E456"/>
    <w:rsid w:val="FDFF5014"/>
    <w:rsid w:val="FDFF851F"/>
    <w:rsid w:val="FE53A13A"/>
    <w:rsid w:val="FE7B993E"/>
    <w:rsid w:val="FEBF9C85"/>
    <w:rsid w:val="FF3F7AB4"/>
    <w:rsid w:val="FF3FCD79"/>
    <w:rsid w:val="FF8FFA41"/>
    <w:rsid w:val="FFAFD6E3"/>
    <w:rsid w:val="FFE9A287"/>
    <w:rsid w:val="FFF72480"/>
    <w:rsid w:val="FFFFE5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qFormat/>
    <w:uiPriority w:val="0"/>
    <w:pPr>
      <w:keepLines/>
      <w:spacing w:beforeLines="50" w:line="520" w:lineRule="exact"/>
      <w:jc w:val="center"/>
      <w:outlineLvl w:val="0"/>
    </w:pPr>
    <w:rPr>
      <w:b/>
      <w:bCs/>
      <w:kern w:val="44"/>
      <w:sz w:val="32"/>
      <w:szCs w:val="32"/>
    </w:rPr>
  </w:style>
  <w:style w:type="paragraph" w:styleId="3">
    <w:name w:val="heading 2"/>
    <w:basedOn w:val="1"/>
    <w:next w:val="1"/>
    <w:qFormat/>
    <w:uiPriority w:val="0"/>
    <w:pPr>
      <w:keepNext/>
      <w:keepLines/>
      <w:spacing w:line="520" w:lineRule="exact"/>
      <w:jc w:val="center"/>
      <w:outlineLvl w:val="1"/>
    </w:pPr>
    <w:rPr>
      <w:rFonts w:ascii="宋体" w:hAnsi="宋体"/>
      <w:b/>
      <w:bCs/>
      <w:sz w:val="24"/>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basedOn w:val="1"/>
    <w:next w:val="1"/>
    <w:qFormat/>
    <w:uiPriority w:val="0"/>
    <w:rPr>
      <w:sz w:val="24"/>
    </w:rPr>
  </w:style>
  <w:style w:type="paragraph" w:styleId="6">
    <w:name w:val="Plain Text"/>
    <w:basedOn w:val="1"/>
    <w:next w:val="1"/>
    <w:qFormat/>
    <w:uiPriority w:val="0"/>
    <w:pPr>
      <w:autoSpaceDE/>
      <w:autoSpaceDN/>
      <w:spacing w:line="240" w:lineRule="auto"/>
      <w:ind w:firstLine="0" w:firstLineChars="0"/>
    </w:pPr>
    <w:rPr>
      <w:rFonts w:hAnsi="Courier New" w:cs="Times New Roman"/>
      <w:kern w:val="2"/>
      <w:sz w:val="21"/>
      <w:szCs w:val="20"/>
      <w:lang w:val="en-US" w:bidi="ar-SA"/>
    </w:rPr>
  </w:style>
  <w:style w:type="paragraph" w:styleId="7">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pPr>
    <w:rPr>
      <w:rFonts w:ascii="Arial" w:hAnsi="Arial"/>
      <w:szCs w:val="21"/>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w:basedOn w:val="5"/>
    <w:qFormat/>
    <w:uiPriority w:val="0"/>
    <w:pPr>
      <w:spacing w:line="360" w:lineRule="auto"/>
      <w:ind w:firstLine="976" w:firstLineChars="200"/>
    </w:pPr>
    <w:rPr>
      <w:rFonts w:ascii="Calibri" w:hAnsi="Calibri"/>
      <w:kern w:val="0"/>
      <w:sz w:val="28"/>
      <w:szCs w:val="2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paragraph" w:customStyle="1" w:styleId="14">
    <w:name w:val="Table Paragraph"/>
    <w:basedOn w:val="1"/>
    <w:autoRedefine/>
    <w:qFormat/>
    <w:uiPriority w:val="1"/>
    <w:pPr>
      <w:jc w:val="left"/>
    </w:pPr>
    <w:rPr>
      <w:rFonts w:ascii="Calibri" w:hAnsi="Calibri"/>
      <w:kern w:val="0"/>
      <w:sz w:val="22"/>
      <w:szCs w:val="22"/>
      <w:lang w:eastAsia="en-US"/>
    </w:rPr>
  </w:style>
  <w:style w:type="paragraph" w:customStyle="1" w:styleId="15">
    <w:name w:val="正文1"/>
    <w:autoRedefine/>
    <w:qFormat/>
    <w:uiPriority w:val="0"/>
    <w:rPr>
      <w:rFonts w:ascii="Calibri" w:hAnsi="Calibri" w:eastAsia="宋体" w:cs="Times New Roman"/>
      <w:lang w:val="en-US" w:eastAsia="zh-CN" w:bidi="ar-SA"/>
    </w:rPr>
  </w:style>
  <w:style w:type="table" w:customStyle="1" w:styleId="16">
    <w:name w:val="Table Normal"/>
    <w:semiHidden/>
    <w:unhideWhenUsed/>
    <w:qFormat/>
    <w:uiPriority w:val="2"/>
    <w:tblPr>
      <w:tblCellMar>
        <w:top w:w="0" w:type="dxa"/>
        <w:left w:w="0" w:type="dxa"/>
        <w:bottom w:w="0" w:type="dxa"/>
        <w:right w:w="0" w:type="dxa"/>
      </w:tblCellMar>
    </w:tblPr>
  </w:style>
  <w:style w:type="paragraph" w:styleId="17">
    <w:name w:val="No Spacing"/>
    <w:qFormat/>
    <w:uiPriority w:val="1"/>
    <w:pPr>
      <w:widowControl w:val="0"/>
      <w:autoSpaceDE w:val="0"/>
      <w:autoSpaceDN w:val="0"/>
    </w:pPr>
    <w:rPr>
      <w:rFonts w:ascii="宋体" w:hAnsi="宋体" w:eastAsia="宋体" w:cs="宋体"/>
      <w:sz w:val="24"/>
      <w:szCs w:val="22"/>
      <w:lang w:val="zh-CN" w:eastAsia="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5144</Words>
  <Characters>5329</Characters>
  <Lines>1</Lines>
  <Paragraphs>1</Paragraphs>
  <TotalTime>0</TotalTime>
  <ScaleCrop>false</ScaleCrop>
  <LinksUpToDate>false</LinksUpToDate>
  <CharactersWithSpaces>5351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2024-08-15T11:20:00Z</dcterms:created>
  <dc:creator>佩佩</dc:creator>
  <cp:lastModifiedBy>伍艳丽</cp:lastModifiedBy>
  <dcterms:modified xsi:type="dcterms:W3CDTF">2026-10-15T09:01:11Z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B053C439B07CE394E5D0BA66164A7A47_41</vt:lpwstr>
  </property>
  <property fmtid="{D5CDD505-2E9C-101B-9397-08002B2CF9AE}" pid="4" name="KSOTemplateDocerSaveRecord">
    <vt:lpwstr>eyJoZGlkIjoiMjY3MzhjZDAxZDM0ZDA2OWYwYzg4MTFiZTY5OGIwMWIiLCJ1c2VySWQiOiIxNzczNzcwODUyIn0=</vt:lpwstr>
  </property>
</Properties>
</file>