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B95E" w14:textId="46E54029" w:rsidR="00336BE9" w:rsidRDefault="00D354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智能化医患关系数据库</w:t>
      </w:r>
      <w:r w:rsidR="00C676D2">
        <w:rPr>
          <w:rFonts w:hint="eastAsia"/>
          <w:sz w:val="44"/>
          <w:szCs w:val="44"/>
        </w:rPr>
        <w:t>建设</w:t>
      </w:r>
    </w:p>
    <w:p w14:paraId="3DCB1EAA" w14:textId="793272F2" w:rsidR="00336BE9" w:rsidRDefault="00D354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技术</w:t>
      </w:r>
      <w:r w:rsidR="00C676D2">
        <w:rPr>
          <w:rFonts w:hint="eastAsia"/>
          <w:sz w:val="44"/>
          <w:szCs w:val="44"/>
        </w:rPr>
        <w:t>需求书</w:t>
      </w:r>
    </w:p>
    <w:tbl>
      <w:tblPr>
        <w:tblW w:w="89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665"/>
        <w:gridCol w:w="5436"/>
      </w:tblGrid>
      <w:tr w:rsidR="00336BE9" w14:paraId="5D47B77B" w14:textId="77777777">
        <w:trPr>
          <w:trHeight w:val="883"/>
        </w:trPr>
        <w:tc>
          <w:tcPr>
            <w:tcW w:w="807" w:type="dxa"/>
            <w:noWrap/>
            <w:vAlign w:val="center"/>
          </w:tcPr>
          <w:p w14:paraId="70D7F451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</w:rPr>
              <w:t>序号</w:t>
            </w:r>
          </w:p>
        </w:tc>
        <w:tc>
          <w:tcPr>
            <w:tcW w:w="2665" w:type="dxa"/>
            <w:noWrap/>
            <w:vAlign w:val="center"/>
          </w:tcPr>
          <w:p w14:paraId="0765D723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</w:rPr>
              <w:t>功能名称</w:t>
            </w:r>
          </w:p>
        </w:tc>
        <w:tc>
          <w:tcPr>
            <w:tcW w:w="5436" w:type="dxa"/>
            <w:noWrap/>
            <w:vAlign w:val="center"/>
          </w:tcPr>
          <w:p w14:paraId="3A0B6E7F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</w:rPr>
              <w:t>功能描述</w:t>
            </w:r>
          </w:p>
        </w:tc>
      </w:tr>
      <w:tr w:rsidR="00336BE9" w14:paraId="53B9A82B" w14:textId="77777777">
        <w:trPr>
          <w:trHeight w:val="380"/>
        </w:trPr>
        <w:tc>
          <w:tcPr>
            <w:tcW w:w="807" w:type="dxa"/>
            <w:noWrap/>
            <w:vAlign w:val="center"/>
          </w:tcPr>
          <w:p w14:paraId="02CCAD2E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541349C0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多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</w:rPr>
              <w:t>源学术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</w:rPr>
              <w:t>成果集成与引用分析</w:t>
            </w:r>
          </w:p>
        </w:tc>
        <w:tc>
          <w:tcPr>
            <w:tcW w:w="5436" w:type="dxa"/>
            <w:noWrap/>
            <w:vAlign w:val="center"/>
          </w:tcPr>
          <w:p w14:paraId="347FA616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支持WOS、Scopus、CNKI、CSCD等主流数据库的成果数据定时/手动同步接入。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实现WOS被引频次、他引次数、引用趋势的自动更新与多维度统计图表展示。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提供基于机构、学者、学科、时间维度的引用网络分析与影响力报告生成。</w:t>
            </w:r>
          </w:p>
        </w:tc>
      </w:tr>
      <w:tr w:rsidR="00336BE9" w14:paraId="2221AFD5" w14:textId="77777777">
        <w:trPr>
          <w:trHeight w:val="380"/>
        </w:trPr>
        <w:tc>
          <w:tcPr>
            <w:tcW w:w="807" w:type="dxa"/>
            <w:noWrap/>
            <w:vAlign w:val="center"/>
          </w:tcPr>
          <w:p w14:paraId="6788953D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2</w:t>
            </w:r>
          </w:p>
        </w:tc>
        <w:tc>
          <w:tcPr>
            <w:tcW w:w="2665" w:type="dxa"/>
            <w:vAlign w:val="center"/>
          </w:tcPr>
          <w:p w14:paraId="5D05A84E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多角色智能测评管理平台</w:t>
            </w:r>
          </w:p>
        </w:tc>
        <w:tc>
          <w:tcPr>
            <w:tcW w:w="5436" w:type="dxa"/>
            <w:noWrap/>
            <w:vAlign w:val="center"/>
          </w:tcPr>
          <w:p w14:paraId="3D664A6B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提供可视化问卷编辑器，支持拖拽设计、多种题型（单选、多选、矩阵、量表等）及逻辑跳转规则配置。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支持按患者、医生、护士、学生等多角色创建并分发问卷，具备二维码、邮件、短信等多种分发与提醒渠道。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集成自适应答题引擎，支持断点续答、实时保存、进度提示、离线答题及数据同步功能。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具备答卷有效性校验、异常答案检测、防重复提交及匿名化处理机制。</w:t>
            </w:r>
          </w:p>
        </w:tc>
      </w:tr>
      <w:tr w:rsidR="00336BE9" w14:paraId="17125022" w14:textId="77777777">
        <w:trPr>
          <w:trHeight w:val="380"/>
        </w:trPr>
        <w:tc>
          <w:tcPr>
            <w:tcW w:w="807" w:type="dxa"/>
            <w:vAlign w:val="center"/>
          </w:tcPr>
          <w:p w14:paraId="2F809663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3</w:t>
            </w:r>
          </w:p>
        </w:tc>
        <w:tc>
          <w:tcPr>
            <w:tcW w:w="2665" w:type="dxa"/>
            <w:vAlign w:val="center"/>
          </w:tcPr>
          <w:p w14:paraId="52D6BAF4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医患关系主题数据</w:t>
            </w:r>
            <w:r>
              <w:rPr>
                <w:rFonts w:ascii="仿宋_GB2312" w:eastAsia="仿宋_GB2312" w:hAnsi="Times New Roman" w:cs="Times New Roman" w:hint="eastAsia"/>
                <w:sz w:val="28"/>
              </w:rPr>
              <w:lastRenderedPageBreak/>
              <w:t>仓库</w:t>
            </w:r>
          </w:p>
        </w:tc>
        <w:tc>
          <w:tcPr>
            <w:tcW w:w="5436" w:type="dxa"/>
            <w:vAlign w:val="center"/>
          </w:tcPr>
          <w:p w14:paraId="5B4494D0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lastRenderedPageBreak/>
              <w:t>1. 构建分层数据模型</w:t>
            </w:r>
            <w:r>
              <w:rPr>
                <w:rFonts w:ascii="仿宋_GB2312" w:eastAsia="仿宋_GB2312" w:hAnsi="Times New Roman" w:cs="Times New Roman" w:hint="eastAsia"/>
                <w:sz w:val="28"/>
              </w:rPr>
              <w:lastRenderedPageBreak/>
              <w:t>（ODS-&gt;DWD-&gt;DWS-&gt;ADS），支持测评数据、业务数据等多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</w:rPr>
              <w:t>源数据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</w:rPr>
              <w:t>的接入、清洗、标准化与融合。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实现患者画像、医生画像、科室画像等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主题宽表的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构建与主题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域数据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建模。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提供完善的数据血缘追踪、数据质量监控告警及数据治理功能。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建立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维度表管理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体系（时间、机构、科室、角色等），确保数据一致性。</w:t>
            </w:r>
          </w:p>
        </w:tc>
      </w:tr>
      <w:tr w:rsidR="00336BE9" w14:paraId="75D0B29F" w14:textId="77777777">
        <w:trPr>
          <w:trHeight w:val="380"/>
        </w:trPr>
        <w:tc>
          <w:tcPr>
            <w:tcW w:w="807" w:type="dxa"/>
            <w:vAlign w:val="center"/>
          </w:tcPr>
          <w:p w14:paraId="05E1C730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lastRenderedPageBreak/>
              <w:t>4</w:t>
            </w:r>
          </w:p>
        </w:tc>
        <w:tc>
          <w:tcPr>
            <w:tcW w:w="2665" w:type="dxa"/>
            <w:vAlign w:val="center"/>
          </w:tcPr>
          <w:p w14:paraId="2862B28A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多维度数据分析与计分引擎</w:t>
            </w:r>
          </w:p>
        </w:tc>
        <w:tc>
          <w:tcPr>
            <w:tcW w:w="5436" w:type="dxa"/>
            <w:vAlign w:val="center"/>
          </w:tcPr>
          <w:p w14:paraId="6D6E41D2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内置针对医患关系测评的专用计分算法，支持11个核心模块（制度信任、诊疗人性观等）的维度得分、总分、T分数、百分位数等自动计算与动态样本对比。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集成基础统计分析功能（描述性统计、相关分析、t检验、方差分析、回归分析）。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提供高级分析工具，支持中介/调节效应分析、因子分析、聚类分析等。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分析任务可配置、可调度，结果可缓存并提供API服务。</w:t>
            </w:r>
          </w:p>
        </w:tc>
      </w:tr>
      <w:tr w:rsidR="00336BE9" w14:paraId="2B2F5364" w14:textId="77777777">
        <w:trPr>
          <w:trHeight w:val="380"/>
        </w:trPr>
        <w:tc>
          <w:tcPr>
            <w:tcW w:w="807" w:type="dxa"/>
            <w:vAlign w:val="center"/>
          </w:tcPr>
          <w:p w14:paraId="66F1FA8E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5</w:t>
            </w:r>
          </w:p>
        </w:tc>
        <w:tc>
          <w:tcPr>
            <w:tcW w:w="2665" w:type="dxa"/>
            <w:vAlign w:val="center"/>
          </w:tcPr>
          <w:p w14:paraId="7662C17E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多层次可视化报表系统</w:t>
            </w:r>
          </w:p>
        </w:tc>
        <w:tc>
          <w:tcPr>
            <w:tcW w:w="5436" w:type="dxa"/>
            <w:vAlign w:val="center"/>
          </w:tcPr>
          <w:p w14:paraId="0EED0B12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支持自动生成个人测评报告、科室分析报告、医院汇总报告、区域统计报告、趋势与对比分析报告。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</w:r>
            <w:r>
              <w:rPr>
                <w:rFonts w:ascii="仿宋_GB2312" w:eastAsia="仿宋_GB2312" w:hAnsi="Times New Roman" w:cs="Times New Roman"/>
                <w:sz w:val="28"/>
              </w:rPr>
              <w:lastRenderedPageBreak/>
              <w:t>2. 集成丰富的图表库（</w:t>
            </w:r>
            <w:proofErr w:type="spellStart"/>
            <w:r>
              <w:rPr>
                <w:rFonts w:ascii="仿宋_GB2312" w:eastAsia="仿宋_GB2312" w:hAnsi="Times New Roman" w:cs="Times New Roman"/>
                <w:sz w:val="28"/>
              </w:rPr>
              <w:t>ECharts</w:t>
            </w:r>
            <w:proofErr w:type="spellEnd"/>
            <w:r>
              <w:rPr>
                <w:rFonts w:ascii="仿宋_GB2312" w:eastAsia="仿宋_GB2312" w:hAnsi="Times New Roman" w:cs="Times New Roman"/>
                <w:sz w:val="28"/>
              </w:rPr>
              <w:t>/</w:t>
            </w:r>
            <w:proofErr w:type="spellStart"/>
            <w:r>
              <w:rPr>
                <w:rFonts w:ascii="仿宋_GB2312" w:eastAsia="仿宋_GB2312" w:hAnsi="Times New Roman" w:cs="Times New Roman"/>
                <w:sz w:val="28"/>
              </w:rPr>
              <w:t>AntV</w:t>
            </w:r>
            <w:proofErr w:type="spellEnd"/>
            <w:r>
              <w:rPr>
                <w:rFonts w:ascii="仿宋_GB2312" w:eastAsia="仿宋_GB2312" w:hAnsi="Times New Roman" w:cs="Times New Roman"/>
                <w:sz w:val="28"/>
              </w:rPr>
              <w:t>），提供柱状图、折线图、饼图、雷达图、热力图、箱线图、仪表盘等交互式组件。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支持报告与图表的多格式导出（PDF、Word、Excel、图片），并具备定时推送与批量生成能力。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提供数据大屏展示模式，并适配移动端查看。</w:t>
            </w:r>
          </w:p>
        </w:tc>
      </w:tr>
      <w:tr w:rsidR="00336BE9" w14:paraId="76BAF887" w14:textId="77777777">
        <w:trPr>
          <w:trHeight w:val="380"/>
        </w:trPr>
        <w:tc>
          <w:tcPr>
            <w:tcW w:w="807" w:type="dxa"/>
            <w:vAlign w:val="center"/>
          </w:tcPr>
          <w:p w14:paraId="45FC1E95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lastRenderedPageBreak/>
              <w:t>6</w:t>
            </w:r>
          </w:p>
        </w:tc>
        <w:tc>
          <w:tcPr>
            <w:tcW w:w="2665" w:type="dxa"/>
            <w:vAlign w:val="center"/>
          </w:tcPr>
          <w:p w14:paraId="262CF92A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智能化培训与资源中心</w:t>
            </w:r>
          </w:p>
        </w:tc>
        <w:tc>
          <w:tcPr>
            <w:tcW w:w="5436" w:type="dxa"/>
            <w:vAlign w:val="center"/>
          </w:tcPr>
          <w:p w14:paraId="1003C8F2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提供课程管理、学习路径个性化推荐、学习进度跟踪与在线考试系统。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支持培训前后效果对比分析及培训证书的自动生成与发放。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建立资源中心，支持多媒体资源的上传下载、分类标签、付费内容管理与在线支付集成。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实现基于测评结果的智能资源推荐。</w:t>
            </w:r>
          </w:p>
        </w:tc>
      </w:tr>
      <w:tr w:rsidR="00336BE9" w14:paraId="40A88306" w14:textId="77777777">
        <w:trPr>
          <w:trHeight w:val="380"/>
        </w:trPr>
        <w:tc>
          <w:tcPr>
            <w:tcW w:w="807" w:type="dxa"/>
            <w:vAlign w:val="center"/>
          </w:tcPr>
          <w:p w14:paraId="07EC8277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7</w:t>
            </w:r>
          </w:p>
        </w:tc>
        <w:tc>
          <w:tcPr>
            <w:tcW w:w="2665" w:type="dxa"/>
            <w:vAlign w:val="center"/>
          </w:tcPr>
          <w:p w14:paraId="47B3FF79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统一用户与权限管理</w:t>
            </w:r>
          </w:p>
        </w:tc>
        <w:tc>
          <w:tcPr>
            <w:tcW w:w="5436" w:type="dxa"/>
            <w:vAlign w:val="center"/>
          </w:tcPr>
          <w:p w14:paraId="70210B83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支持多租户架构，确保不同医院/机构数据严格隔离。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提供四类角色（患者、医生、护士、学生）及机构管理员、科室管理员等多级权限管理体系。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实现功能权限、数据权限、菜单权限、</w:t>
            </w:r>
            <w:r>
              <w:rPr>
                <w:rFonts w:ascii="仿宋_GB2312" w:eastAsia="仿宋_GB2312" w:hAnsi="Times New Roman" w:cs="Times New Roman"/>
                <w:sz w:val="28"/>
              </w:rPr>
              <w:lastRenderedPageBreak/>
              <w:t>API接口权限的精细化控制。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支持组织架构管理及权限审计日志。</w:t>
            </w:r>
            <w:r>
              <w:rPr>
                <w:rFonts w:ascii="仿宋_GB2312" w:eastAsia="仿宋_GB2312" w:hAnsi="Times New Roman" w:cs="Times New Roman"/>
                <w:sz w:val="28"/>
              </w:rPr>
              <w:t> </w:t>
            </w:r>
          </w:p>
        </w:tc>
      </w:tr>
      <w:tr w:rsidR="00336BE9" w14:paraId="6F2AD88D" w14:textId="77777777">
        <w:trPr>
          <w:trHeight w:val="380"/>
        </w:trPr>
        <w:tc>
          <w:tcPr>
            <w:tcW w:w="807" w:type="dxa"/>
            <w:vAlign w:val="center"/>
          </w:tcPr>
          <w:p w14:paraId="3EF2CDAD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lastRenderedPageBreak/>
              <w:t>8</w:t>
            </w:r>
          </w:p>
        </w:tc>
        <w:tc>
          <w:tcPr>
            <w:tcW w:w="2665" w:type="dxa"/>
            <w:vAlign w:val="center"/>
          </w:tcPr>
          <w:p w14:paraId="39122129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AI模型集成与开放平台</w:t>
            </w:r>
          </w:p>
        </w:tc>
        <w:tc>
          <w:tcPr>
            <w:tcW w:w="5436" w:type="dxa"/>
            <w:vAlign w:val="center"/>
          </w:tcPr>
          <w:p w14:paraId="1044F6EC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提供机器学习平台，支持第三方AI模型（如高风险预警、满意度预测、职业倦怠检测模型）的注册、版本管理、部署与A/B测试。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提供标准的RESTful API网关，用于对接和运行预测模型，并具备流量控制、监控告警能力。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支持文本情感分析、个性化推荐等内置算法服务。</w:t>
            </w:r>
          </w:p>
        </w:tc>
      </w:tr>
      <w:tr w:rsidR="00336BE9" w14:paraId="49B58124" w14:textId="77777777">
        <w:trPr>
          <w:trHeight w:val="380"/>
        </w:trPr>
        <w:tc>
          <w:tcPr>
            <w:tcW w:w="807" w:type="dxa"/>
            <w:vAlign w:val="center"/>
          </w:tcPr>
          <w:p w14:paraId="1A8131D0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9</w:t>
            </w:r>
          </w:p>
        </w:tc>
        <w:tc>
          <w:tcPr>
            <w:tcW w:w="2665" w:type="dxa"/>
            <w:vAlign w:val="center"/>
          </w:tcPr>
          <w:p w14:paraId="6BE1088F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ETL与数据集成调度</w:t>
            </w:r>
          </w:p>
        </w:tc>
        <w:tc>
          <w:tcPr>
            <w:tcW w:w="5436" w:type="dxa"/>
            <w:vAlign w:val="center"/>
          </w:tcPr>
          <w:p w14:paraId="7EB8C60B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提供可视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</w:rPr>
              <w:t>化工作流编排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</w:rPr>
              <w:t>界面，支持复杂ETL任务的依赖关系管理与调度。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支持实时（如Kafka）与批量数据采集、处理、质量检查及任务监控告警。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具备完善的数据生命周期管理与归档策略。</w:t>
            </w:r>
          </w:p>
        </w:tc>
      </w:tr>
      <w:tr w:rsidR="00336BE9" w14:paraId="5B961CD0" w14:textId="77777777">
        <w:trPr>
          <w:trHeight w:val="380"/>
        </w:trPr>
        <w:tc>
          <w:tcPr>
            <w:tcW w:w="807" w:type="dxa"/>
            <w:vAlign w:val="center"/>
          </w:tcPr>
          <w:p w14:paraId="24888A00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10</w:t>
            </w:r>
          </w:p>
        </w:tc>
        <w:tc>
          <w:tcPr>
            <w:tcW w:w="2665" w:type="dxa"/>
            <w:vAlign w:val="center"/>
          </w:tcPr>
          <w:p w14:paraId="385D448C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多端应用前端架构</w:t>
            </w:r>
          </w:p>
        </w:tc>
        <w:tc>
          <w:tcPr>
            <w:tcW w:w="5436" w:type="dxa"/>
            <w:vAlign w:val="center"/>
          </w:tcPr>
          <w:p w14:paraId="72F300C6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提供响应式Web管理后台，采用组件化开发，支持国际化与主题换肤。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开发iOS与Android平台原生移动应用，支持推送通知、离线功能。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 xml:space="preserve">3. 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开发微信小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程序等多端应用，覆盖更广</w:t>
            </w:r>
            <w:r>
              <w:rPr>
                <w:rFonts w:ascii="仿宋_GB2312" w:eastAsia="仿宋_GB2312" w:hAnsi="Times New Roman" w:cs="Times New Roman"/>
                <w:sz w:val="28"/>
              </w:rPr>
              <w:lastRenderedPageBreak/>
              <w:t>泛的使用场景。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前端实现性能监控、安全防护及无障碍访问支持。</w:t>
            </w:r>
          </w:p>
        </w:tc>
      </w:tr>
      <w:tr w:rsidR="00336BE9" w14:paraId="2536C086" w14:textId="77777777">
        <w:trPr>
          <w:trHeight w:val="380"/>
        </w:trPr>
        <w:tc>
          <w:tcPr>
            <w:tcW w:w="807" w:type="dxa"/>
            <w:vAlign w:val="center"/>
          </w:tcPr>
          <w:p w14:paraId="5CFDCC00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lastRenderedPageBreak/>
              <w:t>11</w:t>
            </w:r>
          </w:p>
        </w:tc>
        <w:tc>
          <w:tcPr>
            <w:tcW w:w="2665" w:type="dxa"/>
            <w:vAlign w:val="center"/>
          </w:tcPr>
          <w:p w14:paraId="597397C5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系统运维与安全监控</w:t>
            </w:r>
          </w:p>
        </w:tc>
        <w:tc>
          <w:tcPr>
            <w:tcW w:w="5436" w:type="dxa"/>
            <w:vAlign w:val="center"/>
          </w:tcPr>
          <w:p w14:paraId="221328BE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提供全方位的系统监控，涵盖服务器、数据库、应用性能、网络及服务可用性。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建立集中式日志收集、分析与检索平台，支持日志可视化与告警。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实现数据定期备份与恢复、安全审计、漏洞扫描等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安全运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维机制。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提供系统配置管理、操作日志审计等管理功能。</w:t>
            </w:r>
          </w:p>
        </w:tc>
      </w:tr>
      <w:tr w:rsidR="00336BE9" w14:paraId="51E58569" w14:textId="77777777">
        <w:trPr>
          <w:trHeight w:val="380"/>
        </w:trPr>
        <w:tc>
          <w:tcPr>
            <w:tcW w:w="807" w:type="dxa"/>
            <w:vAlign w:val="center"/>
          </w:tcPr>
          <w:p w14:paraId="46076CA2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12</w:t>
            </w:r>
          </w:p>
        </w:tc>
        <w:tc>
          <w:tcPr>
            <w:tcW w:w="2665" w:type="dxa"/>
            <w:vAlign w:val="center"/>
          </w:tcPr>
          <w:p w14:paraId="65B50098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系统部署与性能要求</w:t>
            </w:r>
          </w:p>
        </w:tc>
        <w:tc>
          <w:tcPr>
            <w:tcW w:w="5436" w:type="dxa"/>
            <w:vAlign w:val="center"/>
          </w:tcPr>
          <w:p w14:paraId="0E80C031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1. 提供全方位的系统监控，涵盖服务器、数据库、应用性能、网络及服务可用性。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2. 建立集中式日志收集、分析与检索平台，支持日志可视化与告警。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3. 实现数据定期备份与恢复、安全审计、漏洞扫描等</w:t>
            </w:r>
            <w:proofErr w:type="gramStart"/>
            <w:r>
              <w:rPr>
                <w:rFonts w:ascii="仿宋_GB2312" w:eastAsia="仿宋_GB2312" w:hAnsi="Times New Roman" w:cs="Times New Roman"/>
                <w:sz w:val="28"/>
              </w:rPr>
              <w:t>安全运</w:t>
            </w:r>
            <w:proofErr w:type="gramEnd"/>
            <w:r>
              <w:rPr>
                <w:rFonts w:ascii="仿宋_GB2312" w:eastAsia="仿宋_GB2312" w:hAnsi="Times New Roman" w:cs="Times New Roman"/>
                <w:sz w:val="28"/>
              </w:rPr>
              <w:t>维机制。</w:t>
            </w:r>
            <w:r>
              <w:rPr>
                <w:rFonts w:ascii="仿宋_GB2312" w:eastAsia="仿宋_GB2312" w:hAnsi="Times New Roman" w:cs="Times New Roman"/>
                <w:sz w:val="28"/>
              </w:rPr>
              <w:br/>
              <w:t>4. 提供系统配置管理、操作日志审计等管理功能。</w:t>
            </w:r>
          </w:p>
        </w:tc>
      </w:tr>
      <w:tr w:rsidR="00336BE9" w14:paraId="30C9983F" w14:textId="77777777">
        <w:trPr>
          <w:trHeight w:val="380"/>
        </w:trPr>
        <w:tc>
          <w:tcPr>
            <w:tcW w:w="807" w:type="dxa"/>
            <w:vAlign w:val="center"/>
          </w:tcPr>
          <w:p w14:paraId="3F31B68C" w14:textId="77777777" w:rsidR="00336BE9" w:rsidRDefault="00D35453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13</w:t>
            </w:r>
          </w:p>
        </w:tc>
        <w:tc>
          <w:tcPr>
            <w:tcW w:w="2665" w:type="dxa"/>
            <w:vAlign w:val="center"/>
          </w:tcPr>
          <w:p w14:paraId="3BBFDC38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质保与运维服务</w:t>
            </w:r>
          </w:p>
        </w:tc>
        <w:tc>
          <w:tcPr>
            <w:tcW w:w="5436" w:type="dxa"/>
            <w:vAlign w:val="center"/>
          </w:tcPr>
          <w:p w14:paraId="16D70A63" w14:textId="77777777" w:rsidR="00336BE9" w:rsidRDefault="00D35453">
            <w:pPr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项目验收后提供</w:t>
            </w:r>
            <w:r>
              <w:rPr>
                <w:rFonts w:ascii="仿宋_GB2312" w:eastAsia="仿宋_GB2312" w:hAnsi="Times New Roman" w:cs="Times New Roman"/>
                <w:sz w:val="28"/>
              </w:rPr>
              <w:t> </w:t>
            </w:r>
            <w:r>
              <w:rPr>
                <w:rFonts w:ascii="仿宋_GB2312" w:eastAsia="仿宋_GB2312" w:hAnsi="Times New Roman" w:cs="Times New Roman"/>
                <w:sz w:val="28"/>
              </w:rPr>
              <w:t>1年免费运维服务</w:t>
            </w:r>
            <w:r>
              <w:rPr>
                <w:rFonts w:ascii="仿宋_GB2312" w:eastAsia="仿宋_GB2312" w:hAnsi="Times New Roman" w:cs="Times New Roman"/>
                <w:sz w:val="28"/>
              </w:rPr>
              <w:t> </w:t>
            </w:r>
            <w:r>
              <w:rPr>
                <w:rFonts w:ascii="仿宋_GB2312" w:eastAsia="仿宋_GB2312" w:hAnsi="Times New Roman" w:cs="Times New Roman"/>
                <w:sz w:val="28"/>
              </w:rPr>
              <w:t>作为质保期，服务内容包括：系统故障7x24小时响应、定期健康检查、安全漏洞修补、系统</w:t>
            </w:r>
            <w:r>
              <w:rPr>
                <w:rFonts w:ascii="仿宋_GB2312" w:eastAsia="仿宋_GB2312" w:hAnsi="Times New Roman" w:cs="Times New Roman"/>
                <w:sz w:val="28"/>
              </w:rPr>
              <w:lastRenderedPageBreak/>
              <w:t>性能优化及技术咨询支持。</w:t>
            </w:r>
          </w:p>
        </w:tc>
      </w:tr>
      <w:tr w:rsidR="00C676D2" w14:paraId="15A6BA57" w14:textId="77777777">
        <w:trPr>
          <w:trHeight w:val="380"/>
        </w:trPr>
        <w:tc>
          <w:tcPr>
            <w:tcW w:w="807" w:type="dxa"/>
            <w:vAlign w:val="center"/>
          </w:tcPr>
          <w:p w14:paraId="04198B57" w14:textId="2161596F" w:rsidR="00C676D2" w:rsidRDefault="00C676D2">
            <w:pPr>
              <w:spacing w:line="480" w:lineRule="exact"/>
              <w:jc w:val="center"/>
              <w:rPr>
                <w:rFonts w:ascii="仿宋_GB2312" w:eastAsia="仿宋_GB2312" w:cs="Times New Roman" w:hint="eastAsia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lastRenderedPageBreak/>
              <w:t>1</w:t>
            </w:r>
            <w:r>
              <w:rPr>
                <w:rFonts w:ascii="仿宋_GB2312" w:eastAsia="仿宋_GB2312" w:cs="Times New Roman"/>
                <w:sz w:val="28"/>
              </w:rPr>
              <w:t>4</w:t>
            </w:r>
          </w:p>
        </w:tc>
        <w:tc>
          <w:tcPr>
            <w:tcW w:w="2665" w:type="dxa"/>
            <w:vAlign w:val="center"/>
          </w:tcPr>
          <w:p w14:paraId="63034452" w14:textId="7F16F64E" w:rsidR="00C676D2" w:rsidRDefault="00C676D2">
            <w:pPr>
              <w:jc w:val="left"/>
              <w:rPr>
                <w:rFonts w:ascii="仿宋_GB2312" w:eastAsia="仿宋_GB2312" w:hAnsi="Times New Roman" w:cs="Times New Roman" w:hint="eastAsia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项目建设周期</w:t>
            </w:r>
          </w:p>
        </w:tc>
        <w:tc>
          <w:tcPr>
            <w:tcW w:w="5436" w:type="dxa"/>
            <w:vAlign w:val="center"/>
          </w:tcPr>
          <w:p w14:paraId="0F60F514" w14:textId="1DE7E7D8" w:rsidR="00C676D2" w:rsidRDefault="00C676D2">
            <w:pPr>
              <w:jc w:val="left"/>
              <w:rPr>
                <w:rFonts w:ascii="仿宋_GB2312" w:eastAsia="仿宋_GB2312" w:hAnsi="Times New Roman" w:cs="Times New Roman" w:hint="eastAsia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合同签订后一年内建设完成交付验收使用</w:t>
            </w:r>
          </w:p>
        </w:tc>
      </w:tr>
      <w:tr w:rsidR="00C676D2" w14:paraId="11DE9450" w14:textId="77777777">
        <w:trPr>
          <w:trHeight w:val="380"/>
        </w:trPr>
        <w:tc>
          <w:tcPr>
            <w:tcW w:w="807" w:type="dxa"/>
            <w:vAlign w:val="center"/>
          </w:tcPr>
          <w:p w14:paraId="2D32E265" w14:textId="66450C86" w:rsidR="00C676D2" w:rsidRDefault="00C676D2">
            <w:pPr>
              <w:spacing w:line="480" w:lineRule="exact"/>
              <w:jc w:val="center"/>
              <w:rPr>
                <w:rFonts w:ascii="仿宋_GB2312" w:eastAsia="仿宋_GB2312" w:cs="Times New Roman" w:hint="eastAsia"/>
                <w:sz w:val="28"/>
              </w:rPr>
            </w:pPr>
            <w:r>
              <w:rPr>
                <w:rFonts w:ascii="仿宋_GB2312" w:eastAsia="仿宋_GB2312" w:cs="Times New Roman" w:hint="eastAsia"/>
                <w:sz w:val="28"/>
              </w:rPr>
              <w:t>1</w:t>
            </w:r>
            <w:r>
              <w:rPr>
                <w:rFonts w:ascii="仿宋_GB2312" w:eastAsia="仿宋_GB2312" w:cs="Times New Roman"/>
                <w:sz w:val="28"/>
              </w:rPr>
              <w:t>5</w:t>
            </w:r>
          </w:p>
        </w:tc>
        <w:tc>
          <w:tcPr>
            <w:tcW w:w="2665" w:type="dxa"/>
            <w:vAlign w:val="center"/>
          </w:tcPr>
          <w:p w14:paraId="1423F531" w14:textId="6DA137E9" w:rsidR="00C676D2" w:rsidRDefault="00C676D2">
            <w:pPr>
              <w:jc w:val="left"/>
              <w:rPr>
                <w:rFonts w:ascii="仿宋_GB2312" w:eastAsia="仿宋_GB2312" w:hAnsi="Times New Roman" w:cs="Times New Roman" w:hint="eastAsia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项目付款事项</w:t>
            </w:r>
          </w:p>
        </w:tc>
        <w:tc>
          <w:tcPr>
            <w:tcW w:w="5436" w:type="dxa"/>
            <w:vAlign w:val="center"/>
          </w:tcPr>
          <w:p w14:paraId="42820AA1" w14:textId="2F4E8C72" w:rsidR="00C676D2" w:rsidRDefault="00C676D2">
            <w:pPr>
              <w:jc w:val="left"/>
              <w:rPr>
                <w:rFonts w:ascii="仿宋_GB2312" w:eastAsia="仿宋_GB2312" w:hAnsi="Times New Roman" w:cs="Times New Roman" w:hint="eastAsia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验收合格后付全额合同款项</w:t>
            </w:r>
            <w:bookmarkStart w:id="0" w:name="_GoBack"/>
            <w:bookmarkEnd w:id="0"/>
          </w:p>
        </w:tc>
      </w:tr>
    </w:tbl>
    <w:p w14:paraId="7F5ECC0D" w14:textId="77777777" w:rsidR="00336BE9" w:rsidRDefault="00336BE9">
      <w:pPr>
        <w:jc w:val="left"/>
        <w:rPr>
          <w:sz w:val="32"/>
          <w:szCs w:val="32"/>
        </w:rPr>
      </w:pPr>
    </w:p>
    <w:p w14:paraId="7C3848B0" w14:textId="77777777" w:rsidR="00336BE9" w:rsidRDefault="00336BE9">
      <w:pPr>
        <w:jc w:val="left"/>
        <w:rPr>
          <w:sz w:val="24"/>
        </w:rPr>
      </w:pPr>
    </w:p>
    <w:sectPr w:rsidR="0033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09"/>
    <w:rsid w:val="000C0809"/>
    <w:rsid w:val="00336BE9"/>
    <w:rsid w:val="00465D6C"/>
    <w:rsid w:val="00C676D2"/>
    <w:rsid w:val="00D35453"/>
    <w:rsid w:val="1D12263E"/>
    <w:rsid w:val="20B65A7D"/>
    <w:rsid w:val="335134D8"/>
    <w:rsid w:val="45CA5C9B"/>
    <w:rsid w:val="4CEB6A21"/>
    <w:rsid w:val="4F8C13E5"/>
    <w:rsid w:val="63191D4E"/>
    <w:rsid w:val="799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E977A"/>
  <w15:docId w15:val="{3E6F627D-BCF0-4D2F-844D-66AC928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52471</dc:creator>
  <cp:lastModifiedBy>Windows User</cp:lastModifiedBy>
  <cp:revision>4</cp:revision>
  <dcterms:created xsi:type="dcterms:W3CDTF">2025-03-14T07:20:00Z</dcterms:created>
  <dcterms:modified xsi:type="dcterms:W3CDTF">2026-04-23T07:47:00Z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eyJoZGlkIjoiYzhlMGI1NjA2OWM0ZTQ0OWYyYzkzNjFjYTZiZjI2NDEiLCJ1c2VySWQiOiIyODE0NDQyMTQifQ==</vt:lpwstr>
  </property>
  <property fmtid="{D5CDD505-2E9C-101B-9397-08002B2CF9AE}" pid="4" name="ICV">
    <vt:lpwstr>4C772F697F5C403EA9C003FED2191507_13</vt:lpwstr>
  </property>
</Properties>
</file>